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CC" w:rsidRPr="00C067CC" w:rsidRDefault="00C067CC" w:rsidP="00C067CC">
      <w:pPr>
        <w:widowControl/>
        <w:spacing w:line="259" w:lineRule="auto"/>
        <w:jc w:val="right"/>
        <w:rPr>
          <w:rFonts w:ascii="Times New Roman" w:hAnsi="Times New Roman" w:cs="Times New Roman"/>
          <w:b/>
          <w:sz w:val="16"/>
          <w:szCs w:val="16"/>
          <w:lang w:val="lv-LV"/>
        </w:rPr>
      </w:pPr>
      <w:r w:rsidRPr="00C067CC">
        <w:rPr>
          <w:rFonts w:ascii="Times New Roman" w:hAnsi="Times New Roman" w:cs="Times New Roman"/>
          <w:b/>
          <w:sz w:val="16"/>
          <w:szCs w:val="16"/>
          <w:lang w:val="lv-LV"/>
        </w:rPr>
        <w:t>3.pielikums</w:t>
      </w:r>
    </w:p>
    <w:p w:rsidR="00C067CC" w:rsidRPr="00C067CC" w:rsidRDefault="00C067CC" w:rsidP="00C067CC">
      <w:pPr>
        <w:widowControl/>
        <w:tabs>
          <w:tab w:val="left" w:pos="720"/>
        </w:tabs>
        <w:suppressAutoHyphens/>
        <w:spacing w:line="259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val="lv-LV" w:eastAsia="lv-LV"/>
        </w:rPr>
      </w:pPr>
      <w:r w:rsidRPr="00C067CC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val="lv-LV" w:eastAsia="lv-LV"/>
        </w:rPr>
        <w:t>Latvijas Nacionālā vēstures muzeja iepirkums</w:t>
      </w:r>
    </w:p>
    <w:p w:rsidR="00C067CC" w:rsidRPr="00C067CC" w:rsidRDefault="00C067CC" w:rsidP="00C067CC">
      <w:pPr>
        <w:jc w:val="right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val="lv-LV" w:eastAsia="lv-LV"/>
        </w:rPr>
      </w:pPr>
      <w:r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val="lv-LV" w:eastAsia="lv-LV"/>
        </w:rPr>
        <w:t>“Skārienjutīgu ekrānu</w:t>
      </w:r>
      <w:r w:rsidRPr="00C067CC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val="lv-LV" w:eastAsia="lv-LV"/>
        </w:rPr>
        <w:t xml:space="preserve"> iegāde Latvijas Nacionālā vēstures muzeja vajadzībām’ </w:t>
      </w:r>
    </w:p>
    <w:p w:rsidR="00C067CC" w:rsidRPr="00BD00F6" w:rsidRDefault="00C067CC" w:rsidP="00C067CC">
      <w:pPr>
        <w:jc w:val="right"/>
        <w:rPr>
          <w:rFonts w:ascii="Times New Roman" w:eastAsia="Calibri" w:hAnsi="Times New Roman" w:cs="Times New Roman"/>
          <w:b/>
          <w:sz w:val="16"/>
          <w:szCs w:val="16"/>
          <w:lang w:val="lv-LV"/>
        </w:rPr>
      </w:pPr>
      <w:r w:rsidRPr="00BD00F6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val="lv-LV" w:eastAsia="lv-LV"/>
        </w:rPr>
        <w:t xml:space="preserve">Iepirkuma </w:t>
      </w:r>
      <w:proofErr w:type="spellStart"/>
      <w:r w:rsidRPr="00BD00F6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val="lv-LV" w:eastAsia="lv-LV"/>
        </w:rPr>
        <w:t>id.nr.LNVM</w:t>
      </w:r>
      <w:proofErr w:type="spellEnd"/>
      <w:r w:rsidRPr="00BD00F6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val="lv-LV" w:eastAsia="lv-LV"/>
        </w:rPr>
        <w:t>/2016/6</w:t>
      </w:r>
    </w:p>
    <w:p w:rsidR="00C067CC" w:rsidRPr="00BD00F6" w:rsidRDefault="00C067CC" w:rsidP="00C067CC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067CC" w:rsidRPr="00E6728F" w:rsidRDefault="00C067CC" w:rsidP="00C067CC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6728F">
        <w:rPr>
          <w:rFonts w:ascii="Times New Roman" w:hAnsi="Times New Roman" w:cs="Times New Roman"/>
          <w:b/>
          <w:sz w:val="24"/>
          <w:szCs w:val="24"/>
          <w:lang w:val="lv-LV"/>
        </w:rPr>
        <w:t>Tehniskais un finanšu piedāvājums</w:t>
      </w:r>
    </w:p>
    <w:p w:rsidR="00C067CC" w:rsidRPr="00E6728F" w:rsidRDefault="00C067CC" w:rsidP="00C067CC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C067CC" w:rsidRPr="00E6728F" w:rsidRDefault="00C067CC" w:rsidP="00C067CC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C067CC" w:rsidRPr="00E6728F" w:rsidRDefault="00C067CC" w:rsidP="00C067CC">
      <w:pPr>
        <w:widowControl/>
        <w:spacing w:line="276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067CC" w:rsidRPr="00E6728F" w:rsidRDefault="00C067CC" w:rsidP="00C067CC">
      <w:pPr>
        <w:widowControl/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  <w:lang w:val="lv-LV"/>
        </w:rPr>
      </w:pPr>
      <w:r w:rsidRPr="00E6728F">
        <w:rPr>
          <w:rFonts w:ascii="Times New Roman" w:hAnsi="Times New Roman" w:cs="Times New Roman"/>
          <w:color w:val="00000A"/>
          <w:kern w:val="2"/>
          <w:sz w:val="24"/>
          <w:szCs w:val="24"/>
          <w:lang w:val="lv-LV"/>
        </w:rPr>
        <w:t>____________, 2016. gada ____. __________________</w:t>
      </w:r>
    </w:p>
    <w:p w:rsidR="00C067CC" w:rsidRPr="00E6728F" w:rsidRDefault="00C067CC" w:rsidP="00C067CC">
      <w:pPr>
        <w:widowControl/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  <w:lang w:val="lv-LV"/>
        </w:rPr>
      </w:pPr>
      <w:r w:rsidRPr="00E6728F">
        <w:rPr>
          <w:rFonts w:ascii="Times New Roman" w:hAnsi="Times New Roman" w:cs="Times New Roman"/>
          <w:color w:val="00000A"/>
          <w:kern w:val="2"/>
          <w:sz w:val="24"/>
          <w:szCs w:val="24"/>
          <w:lang w:val="lv-LV"/>
        </w:rPr>
        <w:t>Sastādīšanas vieta</w:t>
      </w:r>
    </w:p>
    <w:p w:rsidR="00C067CC" w:rsidRPr="00E6728F" w:rsidRDefault="00C067CC" w:rsidP="00C067CC">
      <w:pPr>
        <w:widowControl/>
        <w:spacing w:line="276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067CC" w:rsidRPr="00E6728F" w:rsidRDefault="00C067CC" w:rsidP="00C067CC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6728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Finanšu piedāvājums:</w:t>
      </w:r>
    </w:p>
    <w:p w:rsidR="00C067CC" w:rsidRPr="00E6728F" w:rsidRDefault="00C067CC" w:rsidP="00C067CC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8980" w:type="dxa"/>
        <w:tblLook w:val="04A0" w:firstRow="1" w:lastRow="0" w:firstColumn="1" w:lastColumn="0" w:noHBand="0" w:noVBand="1"/>
      </w:tblPr>
      <w:tblGrid>
        <w:gridCol w:w="530"/>
        <w:gridCol w:w="1971"/>
        <w:gridCol w:w="1521"/>
        <w:gridCol w:w="1726"/>
        <w:gridCol w:w="3232"/>
      </w:tblGrid>
      <w:tr w:rsidR="00C067CC" w:rsidRPr="00E6728F" w:rsidTr="00C067CC">
        <w:tc>
          <w:tcPr>
            <w:tcW w:w="530" w:type="dxa"/>
          </w:tcPr>
          <w:p w:rsidR="00C067CC" w:rsidRPr="00E6728F" w:rsidRDefault="00C067CC" w:rsidP="002F5856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Nr. 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p.k</w:t>
            </w:r>
            <w:proofErr w:type="spellEnd"/>
          </w:p>
        </w:tc>
        <w:tc>
          <w:tcPr>
            <w:tcW w:w="1971" w:type="dxa"/>
          </w:tcPr>
          <w:p w:rsidR="00C067CC" w:rsidRPr="00E6728F" w:rsidRDefault="00C067CC" w:rsidP="002F5856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Preces nosaukums</w:t>
            </w:r>
          </w:p>
        </w:tc>
        <w:tc>
          <w:tcPr>
            <w:tcW w:w="1521" w:type="dxa"/>
          </w:tcPr>
          <w:p w:rsidR="00C067CC" w:rsidRPr="00E6728F" w:rsidRDefault="00C067CC" w:rsidP="002F5856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Vienību skaits</w:t>
            </w:r>
          </w:p>
        </w:tc>
        <w:tc>
          <w:tcPr>
            <w:tcW w:w="1726" w:type="dxa"/>
          </w:tcPr>
          <w:p w:rsidR="00C067CC" w:rsidRPr="00E6728F" w:rsidRDefault="00C067CC" w:rsidP="002F5856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Cena par vienu vienību (EUR bez PVN)</w:t>
            </w:r>
          </w:p>
        </w:tc>
        <w:tc>
          <w:tcPr>
            <w:tcW w:w="3232" w:type="dxa"/>
          </w:tcPr>
          <w:p w:rsidR="00C067CC" w:rsidRPr="00E6728F" w:rsidRDefault="00C067CC" w:rsidP="002F5856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Kopējā cena par preci (EUR bez PVN)</w:t>
            </w:r>
          </w:p>
        </w:tc>
      </w:tr>
      <w:tr w:rsidR="00C067CC" w:rsidRPr="00E6728F" w:rsidTr="00C067CC">
        <w:tc>
          <w:tcPr>
            <w:tcW w:w="530" w:type="dxa"/>
          </w:tcPr>
          <w:p w:rsidR="00C067CC" w:rsidRPr="00E6728F" w:rsidRDefault="00C067CC" w:rsidP="002F5856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971" w:type="dxa"/>
          </w:tcPr>
          <w:p w:rsidR="00C067CC" w:rsidRPr="00E6728F" w:rsidRDefault="00C067CC" w:rsidP="002F5856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21" w:type="dxa"/>
          </w:tcPr>
          <w:p w:rsidR="00C067CC" w:rsidRPr="00E6728F" w:rsidRDefault="00C067CC" w:rsidP="002F5856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726" w:type="dxa"/>
          </w:tcPr>
          <w:p w:rsidR="00C067CC" w:rsidRPr="00E6728F" w:rsidRDefault="00C067CC" w:rsidP="002F5856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232" w:type="dxa"/>
          </w:tcPr>
          <w:p w:rsidR="00C067CC" w:rsidRPr="00E6728F" w:rsidRDefault="00C067CC" w:rsidP="002F5856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C067CC" w:rsidRPr="00E6728F" w:rsidRDefault="00C067CC" w:rsidP="00C067CC">
      <w:pPr>
        <w:widowControl/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067CC" w:rsidRPr="00E6728F" w:rsidRDefault="00C067CC" w:rsidP="00C067CC">
      <w:pPr>
        <w:widowControl/>
        <w:ind w:right="-874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672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Preces piegādes, uzstādīšanas un citas izmaksas norāda </w:t>
      </w:r>
      <w:proofErr w:type="gramStart"/>
      <w:r w:rsidRPr="00E672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augstāk minētajā</w:t>
      </w:r>
      <w:proofErr w:type="gramEnd"/>
      <w:r w:rsidRPr="00E672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tabulā vai iekļauj preces cenā. KOPĒJĀS IZMAKSAS par līguma izpildi līguma priekšmetam</w:t>
      </w:r>
      <w:r w:rsidRPr="00E6728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:</w:t>
      </w:r>
    </w:p>
    <w:p w:rsidR="00C067CC" w:rsidRPr="00E6728F" w:rsidRDefault="00C067CC" w:rsidP="00C067CC">
      <w:pPr>
        <w:widowControl/>
        <w:ind w:right="-874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6728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Cena EUR bez PVN – ____________(summa vārdiem)</w:t>
      </w:r>
    </w:p>
    <w:p w:rsidR="00C067CC" w:rsidRPr="00E6728F" w:rsidRDefault="00C067CC" w:rsidP="00C067CC">
      <w:pPr>
        <w:widowControl/>
        <w:ind w:right="-874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6728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21% PVN - _________________(summa vārdiem)</w:t>
      </w:r>
    </w:p>
    <w:p w:rsidR="00C067CC" w:rsidRPr="00E6728F" w:rsidRDefault="00C067CC" w:rsidP="00C067CC">
      <w:pPr>
        <w:widowControl/>
        <w:ind w:right="-874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6728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Cena EUR ar PVN - ______________(summa vārdiem)</w:t>
      </w:r>
    </w:p>
    <w:p w:rsidR="00C067CC" w:rsidRPr="00E6728F" w:rsidRDefault="00C067CC" w:rsidP="00C06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7CC" w:rsidRPr="00E6728F" w:rsidRDefault="00C067CC" w:rsidP="00C067CC">
      <w:pPr>
        <w:pStyle w:val="Sarakstarindkopa"/>
        <w:widowControl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6728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Tehniskais piedāvājums:</w:t>
      </w:r>
    </w:p>
    <w:p w:rsidR="00C067CC" w:rsidRPr="00E6728F" w:rsidRDefault="00C067CC" w:rsidP="00C067CC">
      <w:pPr>
        <w:widowControl/>
        <w:tabs>
          <w:tab w:val="left" w:pos="49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6728F">
        <w:rPr>
          <w:rFonts w:ascii="Times New Roman" w:hAnsi="Times New Roman" w:cs="Times New Roman"/>
          <w:sz w:val="24"/>
          <w:szCs w:val="24"/>
          <w:lang w:val="lv-LV"/>
        </w:rPr>
        <w:t xml:space="preserve"> Pretendents apraksta sava piedāvājuma atbilstību Pasūtītāja izvirzītajām prasībām, norādot gan piedāvāto ražotāju, gan tehniskos parametrus un garantijas noteikumus.</w:t>
      </w:r>
      <w:r w:rsidRPr="00E6728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</w:p>
    <w:tbl>
      <w:tblPr>
        <w:tblStyle w:val="Reatabula1"/>
        <w:tblW w:w="8985" w:type="dxa"/>
        <w:tblInd w:w="-5" w:type="dxa"/>
        <w:tblLook w:val="04A0" w:firstRow="1" w:lastRow="0" w:firstColumn="1" w:lastColumn="0" w:noHBand="0" w:noVBand="1"/>
      </w:tblPr>
      <w:tblGrid>
        <w:gridCol w:w="1722"/>
        <w:gridCol w:w="3665"/>
        <w:gridCol w:w="3598"/>
      </w:tblGrid>
      <w:tr w:rsidR="00C067CC" w:rsidRPr="00E6728F" w:rsidTr="00BD00F6">
        <w:tc>
          <w:tcPr>
            <w:tcW w:w="5387" w:type="dxa"/>
            <w:gridSpan w:val="2"/>
            <w:shd w:val="clear" w:color="auto" w:fill="auto"/>
          </w:tcPr>
          <w:p w:rsidR="00C067CC" w:rsidRPr="00E6728F" w:rsidRDefault="000167AA" w:rsidP="00C067CC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v-LV"/>
              </w:rPr>
            </w:pPr>
            <w:r w:rsidRPr="00E6728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Pasūtītāja prasības</w:t>
            </w:r>
          </w:p>
        </w:tc>
        <w:tc>
          <w:tcPr>
            <w:tcW w:w="3598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v-LV"/>
              </w:rPr>
            </w:pPr>
            <w:r w:rsidRPr="00E67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Pretendenta piedāvājums (Aprakstīt atbilstību pasūtītāja prasībām, norādot ražotāju un modeli projekcijas sistēmai)</w:t>
            </w:r>
          </w:p>
        </w:tc>
      </w:tr>
      <w:tr w:rsidR="00C067CC" w:rsidRPr="00E6728F" w:rsidTr="00BD00F6">
        <w:tc>
          <w:tcPr>
            <w:tcW w:w="5387" w:type="dxa"/>
            <w:gridSpan w:val="2"/>
            <w:shd w:val="clear" w:color="auto" w:fill="auto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21.5” profesionālas klases skārienjutīgais ekrāns (minimālās prasības) (2 gab.)</w:t>
            </w:r>
          </w:p>
        </w:tc>
        <w:tc>
          <w:tcPr>
            <w:tcW w:w="3598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C067CC" w:rsidRPr="00E6728F" w:rsidTr="00BD00F6">
        <w:tc>
          <w:tcPr>
            <w:tcW w:w="1722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Ekrāna izmērs</w:t>
            </w:r>
          </w:p>
        </w:tc>
        <w:tc>
          <w:tcPr>
            <w:tcW w:w="3665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21,5 colla, ne </w:t>
            </w:r>
            <w:proofErr w:type="gram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lielāks kā</w:t>
            </w:r>
            <w:proofErr w:type="gram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476.64(H) X 268.11(V) mm</w:t>
            </w:r>
          </w:p>
        </w:tc>
        <w:tc>
          <w:tcPr>
            <w:tcW w:w="3598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67CC" w:rsidRPr="00E6728F" w:rsidTr="00BD00F6">
        <w:tc>
          <w:tcPr>
            <w:tcW w:w="1722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Displeja tehnoloģija</w:t>
            </w:r>
          </w:p>
        </w:tc>
        <w:tc>
          <w:tcPr>
            <w:tcW w:w="3665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60Hz E-LED BLU</w:t>
            </w:r>
          </w:p>
        </w:tc>
        <w:tc>
          <w:tcPr>
            <w:tcW w:w="3598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67CC" w:rsidRPr="00E6728F" w:rsidTr="00BD00F6">
        <w:tc>
          <w:tcPr>
            <w:tcW w:w="1722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Matricas tips</w:t>
            </w:r>
          </w:p>
        </w:tc>
        <w:tc>
          <w:tcPr>
            <w:tcW w:w="3665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IPS vai PLS</w:t>
            </w:r>
          </w:p>
        </w:tc>
        <w:tc>
          <w:tcPr>
            <w:tcW w:w="3598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67CC" w:rsidRPr="00E6728F" w:rsidTr="00BD00F6">
        <w:tc>
          <w:tcPr>
            <w:tcW w:w="1722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Izšķirtspēja</w:t>
            </w:r>
          </w:p>
        </w:tc>
        <w:tc>
          <w:tcPr>
            <w:tcW w:w="3665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1920 x 1080</w:t>
            </w:r>
          </w:p>
        </w:tc>
        <w:tc>
          <w:tcPr>
            <w:tcW w:w="3598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67CC" w:rsidRPr="00E6728F" w:rsidTr="00BD00F6">
        <w:tc>
          <w:tcPr>
            <w:tcW w:w="1722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Gaišums (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cd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/m2)</w:t>
            </w:r>
          </w:p>
        </w:tc>
        <w:tc>
          <w:tcPr>
            <w:tcW w:w="3665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Vismaz 250 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niti</w:t>
            </w:r>
            <w:proofErr w:type="spellEnd"/>
          </w:p>
        </w:tc>
        <w:tc>
          <w:tcPr>
            <w:tcW w:w="3598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67CC" w:rsidRPr="00E6728F" w:rsidTr="00BD00F6">
        <w:tc>
          <w:tcPr>
            <w:tcW w:w="1722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Kontrasta attiecība (tipiskā)</w:t>
            </w:r>
          </w:p>
        </w:tc>
        <w:tc>
          <w:tcPr>
            <w:tcW w:w="3665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1000:1/ 1000000:1 (dinamiskais)</w:t>
            </w:r>
          </w:p>
        </w:tc>
        <w:tc>
          <w:tcPr>
            <w:tcW w:w="3598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67CC" w:rsidRPr="00E6728F" w:rsidTr="00BD00F6">
        <w:tc>
          <w:tcPr>
            <w:tcW w:w="1722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Skata leņķis</w:t>
            </w:r>
          </w:p>
        </w:tc>
        <w:tc>
          <w:tcPr>
            <w:tcW w:w="3665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178°/178°</w:t>
            </w:r>
          </w:p>
        </w:tc>
        <w:tc>
          <w:tcPr>
            <w:tcW w:w="3598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67CC" w:rsidRPr="00E6728F" w:rsidTr="00BD00F6">
        <w:tc>
          <w:tcPr>
            <w:tcW w:w="1722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Reakcijas laiks</w:t>
            </w:r>
          </w:p>
        </w:tc>
        <w:tc>
          <w:tcPr>
            <w:tcW w:w="3665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5ms</w:t>
            </w:r>
          </w:p>
        </w:tc>
        <w:tc>
          <w:tcPr>
            <w:tcW w:w="3598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67CC" w:rsidRPr="00E6728F" w:rsidTr="00BD00F6">
        <w:tc>
          <w:tcPr>
            <w:tcW w:w="1722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Savienojamība</w:t>
            </w:r>
          </w:p>
        </w:tc>
        <w:tc>
          <w:tcPr>
            <w:tcW w:w="3665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VGA (D-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Sub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), HDMI, Stereo Mini 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Jack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RS232, 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Display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Port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vismaz 1.2v (a ķēdes funkciju video sienas izveidei, atbalsta 2x2 UHD rezolūciju, HDCP, RJ45, USB 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out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iebūvēts 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WiFi</w:t>
            </w:r>
            <w:proofErr w:type="spellEnd"/>
            <w:proofErr w:type="gram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, </w:t>
            </w:r>
            <w:proofErr w:type="gram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16/7 nepārtraukta darbība</w:t>
            </w:r>
          </w:p>
        </w:tc>
        <w:tc>
          <w:tcPr>
            <w:tcW w:w="3598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67CC" w:rsidRPr="00E6728F" w:rsidTr="00BD00F6">
        <w:tc>
          <w:tcPr>
            <w:tcW w:w="1722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Orientācija</w:t>
            </w:r>
          </w:p>
        </w:tc>
        <w:tc>
          <w:tcPr>
            <w:tcW w:w="3665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Ainava/Portrets</w:t>
            </w:r>
          </w:p>
        </w:tc>
        <w:tc>
          <w:tcPr>
            <w:tcW w:w="3598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67CC" w:rsidRPr="00E6728F" w:rsidTr="00BD00F6">
        <w:tc>
          <w:tcPr>
            <w:tcW w:w="1722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Funkcionalitāte</w:t>
            </w:r>
          </w:p>
        </w:tc>
        <w:tc>
          <w:tcPr>
            <w:tcW w:w="3665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Iebūvēti skaļruņi (10W), WLAN, Kapacitīvais skārienjutīgais ekrāns (10 punkti), VESA 100</w:t>
            </w:r>
          </w:p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Procesors: 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Cortex-A9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1GHz 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Quad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Core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CPU</w:t>
            </w:r>
          </w:p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Operatīvā atmiņa: 1.5GB 48bit DDR3</w:t>
            </w:r>
          </w:p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Videokarte: 2D &amp; 3D grafiskais dzinējs (līdz 1920x1080. 32bpp, 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OpenGL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ES)</w:t>
            </w:r>
          </w:p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Disks (FDM): 4GB</w:t>
            </w:r>
          </w:p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Multimediji: </w:t>
            </w:r>
            <w:proofErr w:type="gram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Video dekoders</w:t>
            </w:r>
            <w:proofErr w:type="gram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(MPEG-1/2, H.264/AVC (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Dual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)), VC-1, JPEG, PNG,VP8, Audio DSP (AC3 (DD), MPEG, DTS 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and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etc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USB 2.0</w:t>
            </w:r>
          </w:p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Operētājsistēma: 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Linux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Windows</w:t>
            </w:r>
            <w:proofErr w:type="spellEnd"/>
          </w:p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Nodrošina digitālā satura pārvaldes programmatūru, kas atļauj vismaz šādas funkcijas:</w:t>
            </w:r>
          </w:p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• 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Wan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Lan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WLAN bāzes programmatūra vietējai piekļuvei un satura augšupielādei, atskaņošanai, vadībai (tai skaitā avots/paneļa slēgums/skaļums u.c.), displeja ieslēgšanās/izslēgšanās;</w:t>
            </w:r>
          </w:p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• 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Multimēdiju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failu atskaņotājs (vismaz *.avi, *.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mkv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*.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asf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*.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wmv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*.mp4, *.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vob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*.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mpg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1/2, *.mp3, *.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mkv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*.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ts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*.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tp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*.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trp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*.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jpg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*.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ppt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*.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pptx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*.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swf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• Satura raidīšanas un atskaņošanas plānotājs (dienas, nedēļas, mēneši)</w:t>
            </w:r>
          </w:p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• Kļūdu paziņotājs;</w:t>
            </w:r>
          </w:p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• Attālināta diagnostika (arī HW);</w:t>
            </w:r>
          </w:p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• Tiešā satura pārraidīšanas atbalsts no vismaz šādiem avotiem - S-Video, 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Component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AV, PC, DVI, BNC, DHCP, HDMI, TV, DTV, USB ārējā, DP</w:t>
            </w:r>
          </w:p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• Iespēja atskaņot failus no cita LAN tīklā esoša datora;</w:t>
            </w:r>
          </w:p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• Iespēja veidot skārienjūtīgu interaktīvu saturu balstoties uz iebūvēto datoru;</w:t>
            </w:r>
          </w:p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• Bez-datora </w:t>
            </w:r>
            <w:proofErr w:type="gram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video sienas</w:t>
            </w:r>
            <w:proofErr w:type="gram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režīms (vismaz 15x15 video siena)</w:t>
            </w:r>
          </w:p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• Iespēja kontrolēt displeju caur viedtālruņa aplikāciju (vismaz 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iOS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Android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98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67CC" w:rsidRPr="00E6728F" w:rsidTr="00BD00F6">
        <w:tc>
          <w:tcPr>
            <w:tcW w:w="1722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Garantija</w:t>
            </w:r>
          </w:p>
        </w:tc>
        <w:tc>
          <w:tcPr>
            <w:tcW w:w="3665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gadi</w:t>
            </w:r>
          </w:p>
        </w:tc>
        <w:tc>
          <w:tcPr>
            <w:tcW w:w="3598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067CC" w:rsidRPr="00E6728F" w:rsidTr="00BD00F6">
        <w:tc>
          <w:tcPr>
            <w:tcW w:w="1722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</w:t>
            </w:r>
          </w:p>
        </w:tc>
        <w:tc>
          <w:tcPr>
            <w:tcW w:w="3665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Pretendents ir piedāvātās tehnikas ražotāja autorizēts partneris ar pieredzi un tiesībām uzstādīt, integrēt, apkalpot (garantijas un </w:t>
            </w:r>
            <w:proofErr w:type="spellStart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pēcgarantijas</w:t>
            </w:r>
            <w:proofErr w:type="spellEnd"/>
            <w:r w:rsidRPr="00E672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laiks) noteikto tehniku. Konkursa dokumentiem jāpievieno ražotāja izsniegts dokuments un vismaz viena sertificēta inženiera sertifikāts.</w:t>
            </w:r>
          </w:p>
        </w:tc>
        <w:tc>
          <w:tcPr>
            <w:tcW w:w="3598" w:type="dxa"/>
          </w:tcPr>
          <w:p w:rsidR="00C067CC" w:rsidRPr="00E6728F" w:rsidRDefault="00C067CC" w:rsidP="00C067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bookmarkStart w:id="0" w:name="_GoBack"/>
        <w:bookmarkEnd w:id="0"/>
      </w:tr>
    </w:tbl>
    <w:p w:rsidR="00E6728F" w:rsidRPr="00E6728F" w:rsidRDefault="00E6728F" w:rsidP="00E6728F">
      <w:pPr>
        <w:widowControl/>
        <w:ind w:right="-874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E6728F" w:rsidRPr="00E6728F" w:rsidRDefault="00E6728F" w:rsidP="00E6728F">
      <w:pPr>
        <w:widowControl/>
        <w:ind w:right="-874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672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Pretendents (paraksta pretendenta </w:t>
      </w:r>
      <w:proofErr w:type="spellStart"/>
      <w:r w:rsidRPr="00E672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paraksttiesīgā</w:t>
      </w:r>
      <w:proofErr w:type="spellEnd"/>
      <w:r w:rsidRPr="00E672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persona vai pilnvarota persona):</w:t>
      </w:r>
    </w:p>
    <w:p w:rsidR="00E6728F" w:rsidRPr="00E6728F" w:rsidRDefault="00E6728F" w:rsidP="00E6728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E6728F" w:rsidRPr="00E6728F" w:rsidRDefault="00E6728F" w:rsidP="00E6728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672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</w:t>
      </w:r>
      <w:r w:rsidRPr="00E672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E672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>________________</w:t>
      </w:r>
      <w:r w:rsidRPr="00E672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E672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>_________________</w:t>
      </w:r>
    </w:p>
    <w:p w:rsidR="00E6728F" w:rsidRPr="00E6728F" w:rsidRDefault="00E6728F" w:rsidP="00E6728F">
      <w:pPr>
        <w:widowControl/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</w:pPr>
      <w:r w:rsidRPr="00E6728F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>Paraksts</w:t>
      </w:r>
      <w:r w:rsidRPr="00E6728F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ab/>
      </w:r>
      <w:r w:rsidRPr="00E6728F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ab/>
      </w:r>
      <w:r w:rsidRPr="00E6728F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ab/>
      </w:r>
      <w:r w:rsidRPr="00E6728F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ab/>
        <w:t>Vārds, uzvārds</w:t>
      </w:r>
      <w:r w:rsidRPr="00E6728F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ab/>
      </w:r>
      <w:r w:rsidRPr="00E6728F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ab/>
      </w:r>
      <w:r w:rsidRPr="00E6728F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ab/>
        <w:t>Amats</w:t>
      </w:r>
    </w:p>
    <w:p w:rsidR="00E6728F" w:rsidRPr="00E6728F" w:rsidRDefault="00E6728F" w:rsidP="00E6728F">
      <w:pPr>
        <w:widowControl/>
        <w:spacing w:after="200" w:line="276" w:lineRule="auto"/>
        <w:rPr>
          <w:rFonts w:ascii="Calibri" w:eastAsia="Calibri" w:hAnsi="Calibri" w:cs="Times New Roman"/>
          <w:sz w:val="24"/>
          <w:szCs w:val="24"/>
          <w:lang w:val="lv-LV"/>
        </w:rPr>
      </w:pPr>
    </w:p>
    <w:p w:rsidR="00E6728F" w:rsidRPr="00E6728F" w:rsidRDefault="00E6728F" w:rsidP="00E6728F">
      <w:pPr>
        <w:widowControl/>
        <w:ind w:right="-874"/>
        <w:rPr>
          <w:sz w:val="24"/>
          <w:szCs w:val="24"/>
          <w:lang w:val="lv-LV"/>
        </w:rPr>
      </w:pPr>
    </w:p>
    <w:p w:rsidR="00E6728F" w:rsidRPr="00E6728F" w:rsidRDefault="00E6728F" w:rsidP="00E6728F">
      <w:pPr>
        <w:widowControl/>
        <w:spacing w:after="200" w:line="276" w:lineRule="auto"/>
        <w:rPr>
          <w:sz w:val="24"/>
          <w:szCs w:val="24"/>
          <w:lang w:val="lv-LV"/>
        </w:rPr>
      </w:pPr>
    </w:p>
    <w:p w:rsidR="00E6728F" w:rsidRPr="00E6728F" w:rsidRDefault="00E6728F" w:rsidP="00E6728F">
      <w:pPr>
        <w:widowControl/>
        <w:spacing w:after="200" w:line="276" w:lineRule="auto"/>
        <w:rPr>
          <w:sz w:val="24"/>
          <w:szCs w:val="24"/>
          <w:lang w:val="lv-LV"/>
        </w:rPr>
      </w:pPr>
    </w:p>
    <w:p w:rsidR="00C067CC" w:rsidRPr="00E16744" w:rsidRDefault="00C067CC" w:rsidP="00C067CC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sectPr w:rsidR="00C067CC" w:rsidRPr="00E16744">
      <w:footerReference w:type="default" r:id="rId7"/>
      <w:pgSz w:w="11910" w:h="16840"/>
      <w:pgMar w:top="1240" w:right="16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8D" w:rsidRDefault="001F688D" w:rsidP="00E6728F">
      <w:r>
        <w:separator/>
      </w:r>
    </w:p>
  </w:endnote>
  <w:endnote w:type="continuationSeparator" w:id="0">
    <w:p w:rsidR="001F688D" w:rsidRDefault="001F688D" w:rsidP="00E6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892938"/>
      <w:docPartObj>
        <w:docPartGallery w:val="Page Numbers (Bottom of Page)"/>
        <w:docPartUnique/>
      </w:docPartObj>
    </w:sdtPr>
    <w:sdtContent>
      <w:p w:rsidR="00E6728F" w:rsidRDefault="00E6728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728F">
          <w:rPr>
            <w:noProof/>
            <w:lang w:val="lv-LV"/>
          </w:rPr>
          <w:t>2</w:t>
        </w:r>
        <w:r>
          <w:fldChar w:fldCharType="end"/>
        </w:r>
      </w:p>
    </w:sdtContent>
  </w:sdt>
  <w:p w:rsidR="00E6728F" w:rsidRDefault="00E6728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8D" w:rsidRDefault="001F688D" w:rsidP="00E6728F">
      <w:r>
        <w:separator/>
      </w:r>
    </w:p>
  </w:footnote>
  <w:footnote w:type="continuationSeparator" w:id="0">
    <w:p w:rsidR="001F688D" w:rsidRDefault="001F688D" w:rsidP="00E6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F91"/>
    <w:multiLevelType w:val="hybridMultilevel"/>
    <w:tmpl w:val="996A08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126D"/>
    <w:multiLevelType w:val="hybridMultilevel"/>
    <w:tmpl w:val="9B20938E"/>
    <w:lvl w:ilvl="0" w:tplc="3F5AB7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CC"/>
    <w:rsid w:val="000167AA"/>
    <w:rsid w:val="001F688D"/>
    <w:rsid w:val="003A2000"/>
    <w:rsid w:val="00BD00F6"/>
    <w:rsid w:val="00C067CC"/>
    <w:rsid w:val="00D02F5B"/>
    <w:rsid w:val="00E6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24A10-D71E-471F-B137-50FC60D3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C067CC"/>
    <w:pPr>
      <w:widowControl w:val="0"/>
      <w:spacing w:after="0" w:line="240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0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067CC"/>
    <w:pPr>
      <w:ind w:left="720"/>
      <w:contextualSpacing/>
    </w:pPr>
  </w:style>
  <w:style w:type="table" w:customStyle="1" w:styleId="Reatabula1">
    <w:name w:val="Režģa tabula1"/>
    <w:basedOn w:val="Parastatabula"/>
    <w:next w:val="Reatabula"/>
    <w:uiPriority w:val="59"/>
    <w:rsid w:val="00C0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6728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6728F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E6728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6728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2278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Ineta Ozoliņa</cp:lastModifiedBy>
  <cp:revision>6</cp:revision>
  <dcterms:created xsi:type="dcterms:W3CDTF">2016-07-18T11:56:00Z</dcterms:created>
  <dcterms:modified xsi:type="dcterms:W3CDTF">2016-07-18T13:04:00Z</dcterms:modified>
</cp:coreProperties>
</file>