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BEB17" w14:textId="77777777" w:rsidR="009E6E00" w:rsidRPr="00D31535" w:rsidRDefault="009E6E00" w:rsidP="009E6E00">
      <w:pPr>
        <w:spacing w:after="0"/>
        <w:jc w:val="right"/>
        <w:rPr>
          <w:rFonts w:ascii="Times New Roman" w:hAnsi="Times New Roman"/>
          <w:b/>
          <w:sz w:val="24"/>
          <w:szCs w:val="24"/>
        </w:rPr>
      </w:pPr>
      <w:r>
        <w:rPr>
          <w:rFonts w:ascii="Times New Roman" w:hAnsi="Times New Roman"/>
          <w:b/>
          <w:sz w:val="24"/>
          <w:szCs w:val="24"/>
        </w:rPr>
        <w:t>3</w:t>
      </w:r>
      <w:r w:rsidRPr="00D31535">
        <w:rPr>
          <w:rFonts w:ascii="Times New Roman" w:hAnsi="Times New Roman"/>
          <w:b/>
          <w:sz w:val="24"/>
          <w:szCs w:val="24"/>
        </w:rPr>
        <w:t>.pielikums</w:t>
      </w:r>
    </w:p>
    <w:p w14:paraId="03C6A308" w14:textId="77777777" w:rsidR="00DA611E" w:rsidRDefault="009E6E00" w:rsidP="009E6E00">
      <w:pPr>
        <w:tabs>
          <w:tab w:val="left" w:pos="720"/>
        </w:tabs>
        <w:suppressAutoHyphens/>
        <w:spacing w:after="0" w:line="240" w:lineRule="auto"/>
        <w:ind w:left="720"/>
        <w:jc w:val="right"/>
        <w:rPr>
          <w:rFonts w:ascii="Times New Roman" w:eastAsia="Times New Roman" w:hAnsi="Times New Roman"/>
          <w:color w:val="00000A"/>
          <w:kern w:val="1"/>
          <w:sz w:val="24"/>
          <w:szCs w:val="24"/>
          <w:lang w:eastAsia="lv-LV"/>
        </w:rPr>
      </w:pPr>
      <w:r w:rsidRPr="00994E87">
        <w:rPr>
          <w:rFonts w:ascii="Times New Roman" w:eastAsia="Times New Roman" w:hAnsi="Times New Roman"/>
          <w:color w:val="00000A"/>
          <w:kern w:val="1"/>
          <w:sz w:val="24"/>
          <w:szCs w:val="24"/>
          <w:lang w:eastAsia="lv-LV"/>
        </w:rPr>
        <w:t>Latvijas Naci</w:t>
      </w:r>
      <w:r w:rsidR="00DA611E">
        <w:rPr>
          <w:rFonts w:ascii="Times New Roman" w:eastAsia="Times New Roman" w:hAnsi="Times New Roman"/>
          <w:color w:val="00000A"/>
          <w:kern w:val="1"/>
          <w:sz w:val="24"/>
          <w:szCs w:val="24"/>
          <w:lang w:eastAsia="lv-LV"/>
        </w:rPr>
        <w:t>onālā vēstures muzeja iepirkums</w:t>
      </w:r>
    </w:p>
    <w:p w14:paraId="76691CEE" w14:textId="37BBCF2A" w:rsidR="009E6E00" w:rsidRPr="002F335B" w:rsidRDefault="009E6E00" w:rsidP="009E6E00">
      <w:pPr>
        <w:tabs>
          <w:tab w:val="left" w:pos="720"/>
        </w:tabs>
        <w:suppressAutoHyphens/>
        <w:spacing w:after="0" w:line="240" w:lineRule="auto"/>
        <w:ind w:left="720"/>
        <w:jc w:val="right"/>
        <w:rPr>
          <w:rFonts w:ascii="Times New Roman" w:eastAsia="Times New Roman" w:hAnsi="Times New Roman"/>
          <w:color w:val="00000A"/>
          <w:kern w:val="1"/>
          <w:sz w:val="24"/>
          <w:szCs w:val="24"/>
          <w:lang w:eastAsia="lv-LV"/>
        </w:rPr>
      </w:pPr>
      <w:r w:rsidRPr="002F335B">
        <w:rPr>
          <w:rFonts w:ascii="Times New Roman" w:eastAsia="Times New Roman" w:hAnsi="Times New Roman"/>
          <w:color w:val="00000A"/>
          <w:kern w:val="1"/>
          <w:sz w:val="24"/>
          <w:szCs w:val="24"/>
          <w:lang w:eastAsia="lv-LV"/>
        </w:rPr>
        <w:t>„</w:t>
      </w:r>
      <w:r w:rsidR="002F335B" w:rsidRPr="002F335B">
        <w:rPr>
          <w:rFonts w:ascii="Times New Roman" w:hAnsi="Times New Roman"/>
          <w:sz w:val="24"/>
          <w:szCs w:val="24"/>
        </w:rPr>
        <w:t xml:space="preserve"> Mikro–rentgenfluorescences spektrometrs (µXRF)</w:t>
      </w:r>
      <w:r w:rsidRPr="002F335B">
        <w:rPr>
          <w:rFonts w:ascii="Times New Roman" w:eastAsia="Times New Roman" w:hAnsi="Times New Roman"/>
          <w:color w:val="00000A"/>
          <w:kern w:val="1"/>
          <w:sz w:val="24"/>
          <w:szCs w:val="24"/>
          <w:lang w:eastAsia="lv-LV"/>
        </w:rPr>
        <w:t>”</w:t>
      </w:r>
    </w:p>
    <w:p w14:paraId="3987CB0D" w14:textId="63F80201" w:rsidR="009E6E00" w:rsidRDefault="009E6E00" w:rsidP="009E6E00">
      <w:pPr>
        <w:jc w:val="right"/>
        <w:rPr>
          <w:rFonts w:ascii="Times New Roman" w:eastAsia="Times New Roman" w:hAnsi="Times New Roman"/>
          <w:color w:val="00000A"/>
          <w:kern w:val="1"/>
          <w:sz w:val="24"/>
          <w:szCs w:val="24"/>
          <w:lang w:eastAsia="lv-LV"/>
        </w:rPr>
      </w:pPr>
      <w:r w:rsidRPr="00994E87">
        <w:rPr>
          <w:rFonts w:ascii="Times New Roman" w:eastAsia="Times New Roman" w:hAnsi="Times New Roman"/>
          <w:color w:val="00000A"/>
          <w:kern w:val="1"/>
          <w:sz w:val="24"/>
          <w:szCs w:val="24"/>
          <w:lang w:eastAsia="lv-LV"/>
        </w:rPr>
        <w:t>Iepirkuma id.</w:t>
      </w:r>
      <w:r w:rsidR="00D852D4">
        <w:rPr>
          <w:rFonts w:ascii="Times New Roman" w:eastAsia="Times New Roman" w:hAnsi="Times New Roman"/>
          <w:color w:val="00000A"/>
          <w:kern w:val="1"/>
          <w:sz w:val="24"/>
          <w:szCs w:val="24"/>
          <w:lang w:eastAsia="lv-LV"/>
        </w:rPr>
        <w:t xml:space="preserve"> </w:t>
      </w:r>
      <w:r w:rsidRPr="00994E87">
        <w:rPr>
          <w:rFonts w:ascii="Times New Roman" w:eastAsia="Times New Roman" w:hAnsi="Times New Roman"/>
          <w:color w:val="00000A"/>
          <w:kern w:val="1"/>
          <w:sz w:val="24"/>
          <w:szCs w:val="24"/>
          <w:lang w:eastAsia="lv-LV"/>
        </w:rPr>
        <w:t>nr.</w:t>
      </w:r>
      <w:r w:rsidR="00D852D4">
        <w:rPr>
          <w:rFonts w:ascii="Times New Roman" w:eastAsia="Times New Roman" w:hAnsi="Times New Roman"/>
          <w:color w:val="00000A"/>
          <w:kern w:val="1"/>
          <w:sz w:val="24"/>
          <w:szCs w:val="24"/>
          <w:lang w:eastAsia="lv-LV"/>
        </w:rPr>
        <w:t xml:space="preserve"> </w:t>
      </w:r>
      <w:r w:rsidRPr="00994E87">
        <w:rPr>
          <w:rFonts w:ascii="Times New Roman" w:eastAsia="Times New Roman" w:hAnsi="Times New Roman"/>
          <w:color w:val="00000A"/>
          <w:kern w:val="1"/>
          <w:sz w:val="24"/>
          <w:szCs w:val="24"/>
          <w:lang w:eastAsia="lv-LV"/>
        </w:rPr>
        <w:t>LNVM/201</w:t>
      </w:r>
      <w:r w:rsidR="00D852D4">
        <w:rPr>
          <w:rFonts w:ascii="Times New Roman" w:eastAsia="Times New Roman" w:hAnsi="Times New Roman"/>
          <w:color w:val="00000A"/>
          <w:kern w:val="1"/>
          <w:sz w:val="24"/>
          <w:szCs w:val="24"/>
          <w:lang w:eastAsia="lv-LV"/>
        </w:rPr>
        <w:t>7</w:t>
      </w:r>
      <w:r w:rsidRPr="00994E87">
        <w:rPr>
          <w:rFonts w:ascii="Times New Roman" w:eastAsia="Times New Roman" w:hAnsi="Times New Roman"/>
          <w:color w:val="00000A"/>
          <w:kern w:val="1"/>
          <w:sz w:val="24"/>
          <w:szCs w:val="24"/>
          <w:lang w:eastAsia="lv-LV"/>
        </w:rPr>
        <w:t>/</w:t>
      </w:r>
      <w:r w:rsidR="002F335B">
        <w:rPr>
          <w:rFonts w:ascii="Times New Roman" w:eastAsia="Times New Roman" w:hAnsi="Times New Roman"/>
          <w:color w:val="00000A"/>
          <w:kern w:val="1"/>
          <w:sz w:val="24"/>
          <w:szCs w:val="24"/>
          <w:lang w:eastAsia="lv-LV"/>
        </w:rPr>
        <w:t>4</w:t>
      </w:r>
    </w:p>
    <w:p w14:paraId="29857D7A" w14:textId="77777777" w:rsidR="009E6E00" w:rsidRPr="0062772B" w:rsidRDefault="009E6E00" w:rsidP="009E6E00">
      <w:pPr>
        <w:keepNext/>
        <w:spacing w:after="0" w:line="240" w:lineRule="auto"/>
        <w:jc w:val="center"/>
        <w:outlineLvl w:val="0"/>
        <w:rPr>
          <w:rFonts w:ascii="Times New Roman" w:eastAsia="Times New Roman" w:hAnsi="Times New Roman"/>
          <w:b/>
          <w:bCs/>
          <w:kern w:val="36"/>
          <w:sz w:val="26"/>
          <w:szCs w:val="26"/>
          <w:lang w:eastAsia="lv-LV"/>
        </w:rPr>
      </w:pPr>
      <w:r w:rsidRPr="0062772B">
        <w:rPr>
          <w:rFonts w:ascii="Times New Roman" w:eastAsia="Times New Roman" w:hAnsi="Times New Roman"/>
          <w:b/>
          <w:bCs/>
          <w:kern w:val="36"/>
          <w:sz w:val="26"/>
          <w:szCs w:val="26"/>
          <w:lang w:eastAsia="lv-LV"/>
        </w:rPr>
        <w:t>(tiek sagatavots uz uzņēmuma veidlapas, ja tāda ir)</w:t>
      </w:r>
    </w:p>
    <w:p w14:paraId="012B7D4D" w14:textId="77777777" w:rsidR="009E6E00" w:rsidRPr="0062772B" w:rsidRDefault="009E6E00" w:rsidP="009E6E00">
      <w:pPr>
        <w:spacing w:after="0" w:line="240" w:lineRule="auto"/>
        <w:jc w:val="both"/>
        <w:rPr>
          <w:rFonts w:ascii="Times New Roman" w:eastAsia="Times New Roman" w:hAnsi="Times New Roman"/>
          <w:sz w:val="24"/>
          <w:szCs w:val="24"/>
          <w:lang w:eastAsia="lv-LV"/>
        </w:rPr>
      </w:pPr>
    </w:p>
    <w:p w14:paraId="7C72AD7D" w14:textId="77777777" w:rsidR="009E6E00" w:rsidRPr="0062772B" w:rsidRDefault="009E6E00" w:rsidP="009E6E00">
      <w:pPr>
        <w:spacing w:after="0" w:line="240" w:lineRule="auto"/>
        <w:jc w:val="both"/>
        <w:rPr>
          <w:rFonts w:ascii="Times New Roman" w:eastAsia="Times New Roman" w:hAnsi="Times New Roman"/>
          <w:sz w:val="24"/>
          <w:szCs w:val="24"/>
          <w:lang w:eastAsia="lv-LV"/>
        </w:rPr>
      </w:pPr>
      <w:r w:rsidRPr="0062772B">
        <w:rPr>
          <w:rFonts w:ascii="Times New Roman" w:eastAsia="Times New Roman" w:hAnsi="Times New Roman"/>
          <w:sz w:val="24"/>
          <w:szCs w:val="24"/>
          <w:lang w:eastAsia="lv-LV"/>
        </w:rPr>
        <w:t>____________, 201</w:t>
      </w:r>
      <w:r w:rsidR="00D852D4">
        <w:rPr>
          <w:rFonts w:ascii="Times New Roman" w:eastAsia="Times New Roman" w:hAnsi="Times New Roman"/>
          <w:sz w:val="24"/>
          <w:szCs w:val="24"/>
          <w:lang w:eastAsia="lv-LV"/>
        </w:rPr>
        <w:t>7</w:t>
      </w:r>
      <w:r w:rsidRPr="0062772B">
        <w:rPr>
          <w:rFonts w:ascii="Times New Roman" w:eastAsia="Times New Roman" w:hAnsi="Times New Roman"/>
          <w:sz w:val="24"/>
          <w:szCs w:val="24"/>
          <w:lang w:eastAsia="lv-LV"/>
        </w:rPr>
        <w:t>.gada ____. __________________</w:t>
      </w:r>
    </w:p>
    <w:p w14:paraId="56768F4B" w14:textId="77777777" w:rsidR="009E6E00" w:rsidRDefault="009E6E00" w:rsidP="009E6E00">
      <w:pPr>
        <w:jc w:val="right"/>
        <w:rPr>
          <w:rFonts w:ascii="Times New Roman" w:eastAsia="Times New Roman" w:hAnsi="Times New Roman"/>
          <w:color w:val="00000A"/>
          <w:kern w:val="1"/>
          <w:sz w:val="24"/>
          <w:szCs w:val="24"/>
          <w:lang w:eastAsia="lv-LV"/>
        </w:rPr>
      </w:pPr>
    </w:p>
    <w:p w14:paraId="1D64116E" w14:textId="77777777" w:rsidR="009E6E00" w:rsidRDefault="009E6E00" w:rsidP="009E6E00">
      <w:pPr>
        <w:jc w:val="center"/>
        <w:rPr>
          <w:rFonts w:ascii="Times New Roman" w:eastAsia="Times New Roman" w:hAnsi="Times New Roman"/>
          <w:b/>
          <w:color w:val="00000A"/>
          <w:kern w:val="1"/>
          <w:sz w:val="24"/>
          <w:szCs w:val="24"/>
          <w:lang w:eastAsia="lv-LV"/>
        </w:rPr>
      </w:pPr>
      <w:r w:rsidRPr="0062772B">
        <w:rPr>
          <w:rFonts w:ascii="Times New Roman" w:eastAsia="Times New Roman" w:hAnsi="Times New Roman"/>
          <w:b/>
          <w:color w:val="00000A"/>
          <w:kern w:val="1"/>
          <w:sz w:val="24"/>
          <w:szCs w:val="24"/>
          <w:lang w:eastAsia="lv-LV"/>
        </w:rPr>
        <w:t>Tehniskais un finanšu piedāvājums</w:t>
      </w:r>
    </w:p>
    <w:p w14:paraId="22FD72FE" w14:textId="77777777" w:rsidR="009E6E00" w:rsidRPr="00E11E24" w:rsidRDefault="009E6E00" w:rsidP="009E6E00">
      <w:pPr>
        <w:pStyle w:val="Sarakstarindkopa"/>
        <w:numPr>
          <w:ilvl w:val="0"/>
          <w:numId w:val="1"/>
        </w:numPr>
        <w:autoSpaceDE w:val="0"/>
        <w:autoSpaceDN w:val="0"/>
        <w:adjustRightInd w:val="0"/>
        <w:spacing w:after="0" w:line="240" w:lineRule="auto"/>
        <w:rPr>
          <w:rFonts w:ascii="Times New Roman" w:eastAsia="Times New Roman" w:hAnsi="Times New Roman"/>
          <w:bCs/>
          <w:i/>
          <w:sz w:val="24"/>
          <w:szCs w:val="24"/>
          <w:lang w:eastAsia="lv-LV"/>
        </w:rPr>
      </w:pPr>
      <w:r w:rsidRPr="00E11E24">
        <w:rPr>
          <w:rFonts w:ascii="Times New Roman" w:eastAsia="Times New Roman" w:hAnsi="Times New Roman"/>
          <w:bCs/>
          <w:i/>
          <w:sz w:val="24"/>
          <w:szCs w:val="24"/>
          <w:lang w:eastAsia="lv-LV"/>
        </w:rPr>
        <w:t>Finanšu piedāvājums:</w:t>
      </w:r>
    </w:p>
    <w:p w14:paraId="70313F6E" w14:textId="77777777" w:rsidR="009E6E00" w:rsidRDefault="009E6E00" w:rsidP="009E6E00">
      <w:pPr>
        <w:autoSpaceDE w:val="0"/>
        <w:autoSpaceDN w:val="0"/>
        <w:adjustRightInd w:val="0"/>
        <w:spacing w:after="0" w:line="240" w:lineRule="auto"/>
        <w:rPr>
          <w:rFonts w:ascii="Times New Roman" w:eastAsia="Times New Roman" w:hAnsi="Times New Roman"/>
          <w:b/>
          <w:bCs/>
          <w:sz w:val="24"/>
          <w:szCs w:val="24"/>
          <w:lang w:eastAsia="lv-LV"/>
        </w:rPr>
      </w:pPr>
    </w:p>
    <w:p w14:paraId="2C5B51E7" w14:textId="24979F93" w:rsidR="009E6E00" w:rsidRDefault="002F335B" w:rsidP="009E6E00">
      <w:pPr>
        <w:autoSpaceDE w:val="0"/>
        <w:autoSpaceDN w:val="0"/>
        <w:adjustRightInd w:val="0"/>
        <w:spacing w:after="0" w:line="240" w:lineRule="auto"/>
        <w:rPr>
          <w:rFonts w:ascii="Times New Roman" w:eastAsia="Times New Roman" w:hAnsi="Times New Roman"/>
          <w:b/>
          <w:bCs/>
          <w:sz w:val="24"/>
          <w:szCs w:val="24"/>
          <w:lang w:eastAsia="lv-LV"/>
        </w:rPr>
      </w:pPr>
      <w:r w:rsidRPr="00E5210E">
        <w:rPr>
          <w:rFonts w:ascii="Times New Roman" w:hAnsi="Times New Roman"/>
          <w:b/>
          <w:sz w:val="24"/>
          <w:szCs w:val="24"/>
        </w:rPr>
        <w:t>Mikro–rentgenfluorescences spektrometrs (µXRF)</w:t>
      </w:r>
      <w:r w:rsidR="009E6E00" w:rsidRPr="0062772B">
        <w:rPr>
          <w:rFonts w:ascii="Times New Roman" w:eastAsia="Times New Roman" w:hAnsi="Times New Roman"/>
          <w:b/>
          <w:bCs/>
          <w:sz w:val="24"/>
          <w:szCs w:val="24"/>
          <w:lang w:eastAsia="lv-LV"/>
        </w:rPr>
        <w:t>:</w:t>
      </w:r>
    </w:p>
    <w:p w14:paraId="4661D6F8" w14:textId="77777777" w:rsidR="009E6E00" w:rsidRPr="0062772B" w:rsidRDefault="009E6E00" w:rsidP="009E6E00">
      <w:pPr>
        <w:autoSpaceDE w:val="0"/>
        <w:autoSpaceDN w:val="0"/>
        <w:adjustRightInd w:val="0"/>
        <w:spacing w:after="0" w:line="240" w:lineRule="auto"/>
        <w:rPr>
          <w:rFonts w:ascii="Times New Roman" w:eastAsia="Times New Roman" w:hAnsi="Times New Roman"/>
          <w:b/>
          <w:bCs/>
          <w:sz w:val="24"/>
          <w:szCs w:val="24"/>
          <w:lang w:eastAsia="lv-LV"/>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2786"/>
        <w:gridCol w:w="2809"/>
      </w:tblGrid>
      <w:tr w:rsidR="002F335B" w:rsidRPr="0062772B" w14:paraId="584FC808" w14:textId="77777777" w:rsidTr="002F335B">
        <w:trPr>
          <w:cantSplit/>
          <w:trHeight w:val="718"/>
          <w:jc w:val="center"/>
        </w:trPr>
        <w:tc>
          <w:tcPr>
            <w:tcW w:w="1913" w:type="dxa"/>
            <w:tcBorders>
              <w:top w:val="single" w:sz="4" w:space="0" w:color="auto"/>
              <w:left w:val="single" w:sz="4" w:space="0" w:color="auto"/>
              <w:bottom w:val="single" w:sz="4" w:space="0" w:color="auto"/>
              <w:right w:val="single" w:sz="4" w:space="0" w:color="auto"/>
            </w:tcBorders>
            <w:hideMark/>
          </w:tcPr>
          <w:p w14:paraId="12B64751" w14:textId="58E476BF" w:rsidR="002F335B" w:rsidRPr="0062772B" w:rsidRDefault="002F335B" w:rsidP="002F335B">
            <w:pPr>
              <w:autoSpaceDE w:val="0"/>
              <w:autoSpaceDN w:val="0"/>
              <w:adjustRightInd w:val="0"/>
              <w:spacing w:after="0"/>
              <w:jc w:val="center"/>
              <w:rPr>
                <w:rFonts w:ascii="Times New Roman" w:eastAsia="Times New Roman" w:hAnsi="Times New Roman"/>
                <w:b/>
                <w:bCs/>
                <w:sz w:val="24"/>
                <w:szCs w:val="24"/>
              </w:rPr>
            </w:pPr>
            <w:r w:rsidRPr="0062772B">
              <w:rPr>
                <w:rFonts w:ascii="Times New Roman" w:eastAsia="Times New Roman" w:hAnsi="Times New Roman"/>
                <w:b/>
                <w:bCs/>
              </w:rPr>
              <w:t xml:space="preserve">Nr. </w:t>
            </w:r>
            <w:r>
              <w:rPr>
                <w:rFonts w:ascii="Times New Roman" w:eastAsia="Times New Roman" w:hAnsi="Times New Roman"/>
                <w:b/>
                <w:bCs/>
              </w:rPr>
              <w:t>p</w:t>
            </w:r>
            <w:r w:rsidRPr="0062772B">
              <w:rPr>
                <w:rFonts w:ascii="Times New Roman" w:eastAsia="Times New Roman" w:hAnsi="Times New Roman"/>
                <w:b/>
                <w:bCs/>
              </w:rPr>
              <w:t>.k.</w:t>
            </w:r>
          </w:p>
        </w:tc>
        <w:tc>
          <w:tcPr>
            <w:tcW w:w="2786" w:type="dxa"/>
            <w:tcBorders>
              <w:top w:val="single" w:sz="4" w:space="0" w:color="auto"/>
              <w:left w:val="single" w:sz="4" w:space="0" w:color="auto"/>
              <w:bottom w:val="single" w:sz="4" w:space="0" w:color="auto"/>
              <w:right w:val="single" w:sz="4" w:space="0" w:color="auto"/>
            </w:tcBorders>
            <w:hideMark/>
          </w:tcPr>
          <w:p w14:paraId="75DA9E14" w14:textId="77777777" w:rsidR="002F335B" w:rsidRPr="0062772B" w:rsidRDefault="002F335B" w:rsidP="002F335B">
            <w:pPr>
              <w:autoSpaceDE w:val="0"/>
              <w:autoSpaceDN w:val="0"/>
              <w:adjustRightInd w:val="0"/>
              <w:spacing w:after="0"/>
              <w:jc w:val="center"/>
              <w:rPr>
                <w:rFonts w:ascii="Times New Roman" w:eastAsia="Times New Roman" w:hAnsi="Times New Roman"/>
                <w:b/>
                <w:bCs/>
                <w:sz w:val="24"/>
                <w:szCs w:val="24"/>
              </w:rPr>
            </w:pPr>
            <w:r w:rsidRPr="0062772B">
              <w:rPr>
                <w:rFonts w:ascii="Times New Roman" w:eastAsia="Times New Roman" w:hAnsi="Times New Roman"/>
                <w:b/>
                <w:bCs/>
              </w:rPr>
              <w:t>Preces/pakalpojuma nosaukums</w:t>
            </w:r>
          </w:p>
        </w:tc>
        <w:tc>
          <w:tcPr>
            <w:tcW w:w="2809" w:type="dxa"/>
            <w:tcBorders>
              <w:top w:val="single" w:sz="4" w:space="0" w:color="auto"/>
              <w:left w:val="single" w:sz="4" w:space="0" w:color="auto"/>
              <w:bottom w:val="single" w:sz="4" w:space="0" w:color="auto"/>
              <w:right w:val="single" w:sz="4" w:space="0" w:color="auto"/>
            </w:tcBorders>
            <w:hideMark/>
          </w:tcPr>
          <w:p w14:paraId="043A174D" w14:textId="2123E2F6" w:rsidR="002F335B" w:rsidRPr="0062772B" w:rsidRDefault="002F335B" w:rsidP="002F335B">
            <w:pPr>
              <w:autoSpaceDE w:val="0"/>
              <w:autoSpaceDN w:val="0"/>
              <w:adjustRightInd w:val="0"/>
              <w:spacing w:after="0"/>
              <w:jc w:val="center"/>
              <w:rPr>
                <w:rFonts w:ascii="Times New Roman" w:eastAsia="Times New Roman" w:hAnsi="Times New Roman"/>
                <w:b/>
                <w:bCs/>
                <w:sz w:val="24"/>
                <w:szCs w:val="24"/>
              </w:rPr>
            </w:pPr>
            <w:r w:rsidRPr="0062772B">
              <w:rPr>
                <w:rFonts w:ascii="Times New Roman" w:eastAsia="Times New Roman" w:hAnsi="Times New Roman"/>
                <w:b/>
                <w:bCs/>
              </w:rPr>
              <w:t>Cena EUR bez PVN par 1 gab.</w:t>
            </w:r>
          </w:p>
        </w:tc>
      </w:tr>
      <w:tr w:rsidR="002F335B" w:rsidRPr="0062772B" w14:paraId="1F15732B" w14:textId="77777777" w:rsidTr="002F335B">
        <w:trPr>
          <w:jc w:val="center"/>
        </w:trPr>
        <w:tc>
          <w:tcPr>
            <w:tcW w:w="191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85E3FD1" w14:textId="77777777" w:rsidR="002F335B" w:rsidRPr="0062772B" w:rsidRDefault="002F335B" w:rsidP="00F64F5C">
            <w:pPr>
              <w:spacing w:after="0"/>
              <w:rPr>
                <w:rFonts w:ascii="Times New Roman" w:eastAsiaTheme="minorHAnsi" w:hAnsi="Times New Roman"/>
              </w:rPr>
            </w:pPr>
            <w:r w:rsidRPr="0062772B">
              <w:rPr>
                <w:rFonts w:ascii="Times New Roman" w:eastAsiaTheme="minorHAnsi" w:hAnsi="Times New Roman"/>
              </w:rPr>
              <w:t>1.</w:t>
            </w:r>
          </w:p>
        </w:tc>
        <w:tc>
          <w:tcPr>
            <w:tcW w:w="2786" w:type="dxa"/>
            <w:tcBorders>
              <w:top w:val="single" w:sz="4" w:space="0" w:color="auto"/>
              <w:left w:val="single" w:sz="4" w:space="0" w:color="auto"/>
              <w:bottom w:val="single" w:sz="4" w:space="0" w:color="auto"/>
              <w:right w:val="single" w:sz="4" w:space="0" w:color="auto"/>
            </w:tcBorders>
            <w:shd w:val="clear" w:color="auto" w:fill="EEECE1" w:themeFill="background2"/>
          </w:tcPr>
          <w:p w14:paraId="22C2EC00" w14:textId="36356EA8" w:rsidR="002F335B" w:rsidRPr="0062772B" w:rsidRDefault="002F335B" w:rsidP="00F64F5C">
            <w:pPr>
              <w:autoSpaceDE w:val="0"/>
              <w:autoSpaceDN w:val="0"/>
              <w:adjustRightInd w:val="0"/>
              <w:spacing w:after="0"/>
              <w:jc w:val="center"/>
              <w:rPr>
                <w:rFonts w:ascii="Times New Roman" w:eastAsia="Times New Roman" w:hAnsi="Times New Roman"/>
                <w:b/>
                <w:bCs/>
                <w:sz w:val="24"/>
                <w:szCs w:val="24"/>
              </w:rPr>
            </w:pPr>
          </w:p>
        </w:tc>
        <w:tc>
          <w:tcPr>
            <w:tcW w:w="2809" w:type="dxa"/>
            <w:tcBorders>
              <w:top w:val="single" w:sz="4" w:space="0" w:color="auto"/>
              <w:left w:val="single" w:sz="4" w:space="0" w:color="auto"/>
              <w:bottom w:val="single" w:sz="4" w:space="0" w:color="auto"/>
              <w:right w:val="single" w:sz="4" w:space="0" w:color="auto"/>
            </w:tcBorders>
            <w:shd w:val="clear" w:color="auto" w:fill="EEECE1" w:themeFill="background2"/>
          </w:tcPr>
          <w:p w14:paraId="137DDD81" w14:textId="77777777" w:rsidR="002F335B" w:rsidRPr="0062772B" w:rsidRDefault="002F335B" w:rsidP="00F64F5C">
            <w:pPr>
              <w:autoSpaceDE w:val="0"/>
              <w:autoSpaceDN w:val="0"/>
              <w:adjustRightInd w:val="0"/>
              <w:spacing w:after="0"/>
              <w:jc w:val="center"/>
              <w:rPr>
                <w:rFonts w:ascii="Times New Roman" w:eastAsia="Times New Roman" w:hAnsi="Times New Roman"/>
                <w:b/>
                <w:bCs/>
                <w:sz w:val="24"/>
                <w:szCs w:val="24"/>
              </w:rPr>
            </w:pPr>
          </w:p>
        </w:tc>
      </w:tr>
    </w:tbl>
    <w:p w14:paraId="5DFA968E" w14:textId="1DFBDF9A" w:rsidR="009E6E00" w:rsidRDefault="004854F1" w:rsidP="004854F1">
      <w:pPr>
        <w:spacing w:after="0" w:line="240" w:lineRule="auto"/>
        <w:ind w:right="-874"/>
        <w:jc w:val="both"/>
        <w:rPr>
          <w:rFonts w:ascii="Times New Roman" w:eastAsia="Times New Roman" w:hAnsi="Times New Roman"/>
          <w:b/>
          <w:sz w:val="24"/>
          <w:szCs w:val="24"/>
          <w:lang w:eastAsia="lv-LV"/>
        </w:rPr>
      </w:pPr>
      <w:r w:rsidRPr="002F335B">
        <w:rPr>
          <w:rFonts w:ascii="Times New Roman" w:eastAsia="Times New Roman" w:hAnsi="Times New Roman"/>
          <w:color w:val="000000"/>
          <w:lang w:eastAsia="lv-LV"/>
        </w:rPr>
        <w:t xml:space="preserve">Preču </w:t>
      </w:r>
      <w:r w:rsidRPr="002F335B">
        <w:rPr>
          <w:rFonts w:ascii="Times New Roman" w:hAnsi="Times New Roman"/>
        </w:rPr>
        <w:t>cenā jāiekļauj visi ar līguma izpildi saistītie izdevumi, t.i., visas izmaksas, kas saistītas ar pasūtītāja izstrādātajai tehniskajai specifikācijai atbilstošas preces izgatavošanu, piegādi, uzstādīšanu, garantijas saistību izpildi, kā arī ar līguma saistību izpildi</w:t>
      </w:r>
      <w:r w:rsidR="008A6A7D">
        <w:rPr>
          <w:rFonts w:ascii="Times New Roman" w:hAnsi="Times New Roman"/>
        </w:rPr>
        <w:t xml:space="preserve"> (tostarp garantijas saistības, darbinieku apmācība utml.)</w:t>
      </w:r>
      <w:r w:rsidRPr="002F335B">
        <w:rPr>
          <w:rFonts w:ascii="Times New Roman" w:hAnsi="Times New Roman"/>
        </w:rPr>
        <w:t>, ņemot vērā iepirkuma līguma projektā noteiktos izpildītāja pienākumus, tajā skaitā arī nodokļi un nodevas, izņemot pievienotās vērtības nodokli. Papildu izmaksas līguma darbības laikā netiks pieļautas. Preču cenas pretendents norāda ar ne vairāk kā divam zīmēm aiz komata.</w:t>
      </w:r>
      <w:r>
        <w:rPr>
          <w:rFonts w:ascii="Times New Roman" w:hAnsi="Times New Roman"/>
        </w:rPr>
        <w:t xml:space="preserve"> </w:t>
      </w:r>
    </w:p>
    <w:p w14:paraId="716EA39E" w14:textId="7A5DFD93" w:rsidR="009E6E00" w:rsidRPr="0062772B" w:rsidRDefault="009E6E00" w:rsidP="009E6E00">
      <w:pPr>
        <w:spacing w:after="0" w:line="240" w:lineRule="auto"/>
        <w:ind w:right="-874"/>
        <w:rPr>
          <w:rFonts w:ascii="Times New Roman" w:eastAsia="Times New Roman" w:hAnsi="Times New Roman"/>
          <w:b/>
          <w:sz w:val="24"/>
          <w:szCs w:val="24"/>
          <w:lang w:eastAsia="lv-LV"/>
        </w:rPr>
      </w:pPr>
      <w:r w:rsidRPr="0062772B">
        <w:rPr>
          <w:rFonts w:ascii="Times New Roman" w:eastAsia="Times New Roman" w:hAnsi="Times New Roman"/>
          <w:sz w:val="24"/>
          <w:szCs w:val="24"/>
          <w:lang w:eastAsia="lv-LV"/>
        </w:rPr>
        <w:t>KOPĒJĀS IZMAKSAS par līguma izpildi</w:t>
      </w:r>
      <w:r>
        <w:rPr>
          <w:rFonts w:ascii="Times New Roman" w:eastAsia="Times New Roman" w:hAnsi="Times New Roman"/>
          <w:sz w:val="24"/>
          <w:szCs w:val="24"/>
          <w:lang w:eastAsia="lv-LV"/>
        </w:rPr>
        <w:t xml:space="preserve"> līguma priekšmetam </w:t>
      </w:r>
      <w:r w:rsidR="002F335B" w:rsidRPr="00E5210E">
        <w:rPr>
          <w:rFonts w:ascii="Times New Roman" w:hAnsi="Times New Roman"/>
          <w:b/>
          <w:sz w:val="24"/>
          <w:szCs w:val="24"/>
        </w:rPr>
        <w:t>Mikro–rentgenfluorescences spektrometrs (µXRF)</w:t>
      </w:r>
      <w:r>
        <w:rPr>
          <w:rFonts w:ascii="Times New Roman" w:eastAsia="Times New Roman" w:hAnsi="Times New Roman"/>
          <w:b/>
          <w:sz w:val="24"/>
          <w:szCs w:val="24"/>
          <w:lang w:eastAsia="lv-LV"/>
        </w:rPr>
        <w:t>:</w:t>
      </w:r>
    </w:p>
    <w:p w14:paraId="3C87E307" w14:textId="77777777" w:rsidR="009E6E00" w:rsidRDefault="009E6E00" w:rsidP="009E6E00">
      <w:pPr>
        <w:spacing w:after="0" w:line="240" w:lineRule="auto"/>
        <w:ind w:right="-874"/>
        <w:rPr>
          <w:rFonts w:ascii="Times New Roman" w:eastAsia="Times New Roman" w:hAnsi="Times New Roman"/>
          <w:b/>
          <w:sz w:val="24"/>
          <w:szCs w:val="24"/>
          <w:lang w:eastAsia="lv-LV"/>
        </w:rPr>
      </w:pPr>
      <w:r w:rsidRPr="0062772B">
        <w:rPr>
          <w:rFonts w:ascii="Times New Roman" w:eastAsia="Times New Roman" w:hAnsi="Times New Roman"/>
          <w:b/>
          <w:sz w:val="24"/>
          <w:szCs w:val="24"/>
          <w:lang w:eastAsia="lv-LV"/>
        </w:rPr>
        <w:t>Cena EUR bez PVN – ____________</w:t>
      </w:r>
      <w:r>
        <w:rPr>
          <w:rFonts w:ascii="Times New Roman" w:eastAsia="Times New Roman" w:hAnsi="Times New Roman"/>
          <w:b/>
          <w:sz w:val="24"/>
          <w:szCs w:val="24"/>
          <w:lang w:eastAsia="lv-LV"/>
        </w:rPr>
        <w:t>(summa vārdiem)</w:t>
      </w:r>
    </w:p>
    <w:p w14:paraId="441D5C7C" w14:textId="77777777" w:rsidR="009E6E00" w:rsidRPr="0062772B" w:rsidRDefault="009E6E00" w:rsidP="009E6E00">
      <w:pPr>
        <w:spacing w:after="0" w:line="240" w:lineRule="auto"/>
        <w:ind w:right="-874"/>
        <w:rPr>
          <w:rFonts w:ascii="Times New Roman" w:eastAsia="Times New Roman" w:hAnsi="Times New Roman"/>
          <w:b/>
          <w:sz w:val="24"/>
          <w:szCs w:val="24"/>
          <w:lang w:eastAsia="lv-LV"/>
        </w:rPr>
      </w:pPr>
      <w:r>
        <w:rPr>
          <w:rFonts w:ascii="Times New Roman" w:eastAsia="Times New Roman" w:hAnsi="Times New Roman"/>
          <w:b/>
          <w:sz w:val="24"/>
          <w:szCs w:val="24"/>
          <w:lang w:eastAsia="lv-LV"/>
        </w:rPr>
        <w:t>21% PVN - _________________(summa vārdiem)</w:t>
      </w:r>
    </w:p>
    <w:p w14:paraId="3571CBD4" w14:textId="77777777" w:rsidR="009E6E00" w:rsidRPr="0062772B" w:rsidRDefault="009E6E00" w:rsidP="009E6E00">
      <w:pPr>
        <w:spacing w:after="0" w:line="240" w:lineRule="auto"/>
        <w:ind w:right="-874"/>
        <w:rPr>
          <w:rFonts w:ascii="Times New Roman" w:eastAsia="Times New Roman" w:hAnsi="Times New Roman"/>
          <w:b/>
          <w:sz w:val="24"/>
          <w:szCs w:val="24"/>
          <w:lang w:eastAsia="lv-LV"/>
        </w:rPr>
      </w:pPr>
      <w:r w:rsidRPr="0062772B">
        <w:rPr>
          <w:rFonts w:ascii="Times New Roman" w:eastAsia="Times New Roman" w:hAnsi="Times New Roman"/>
          <w:b/>
          <w:sz w:val="24"/>
          <w:szCs w:val="24"/>
          <w:lang w:eastAsia="lv-LV"/>
        </w:rPr>
        <w:t>Cena EUR ar PVN - ______________</w:t>
      </w:r>
      <w:r>
        <w:rPr>
          <w:rFonts w:ascii="Times New Roman" w:eastAsia="Times New Roman" w:hAnsi="Times New Roman"/>
          <w:b/>
          <w:sz w:val="24"/>
          <w:szCs w:val="24"/>
          <w:lang w:eastAsia="lv-LV"/>
        </w:rPr>
        <w:t>(summa vārdiem)</w:t>
      </w:r>
    </w:p>
    <w:p w14:paraId="4A95E147" w14:textId="77777777" w:rsidR="000D160E" w:rsidRDefault="000D160E" w:rsidP="006F1380">
      <w:pPr>
        <w:spacing w:after="0" w:line="240" w:lineRule="auto"/>
        <w:ind w:right="-874"/>
        <w:rPr>
          <w:rFonts w:ascii="Times New Roman" w:eastAsia="Times New Roman" w:hAnsi="Times New Roman"/>
          <w:b/>
          <w:sz w:val="24"/>
          <w:szCs w:val="24"/>
          <w:lang w:eastAsia="lv-LV"/>
        </w:rPr>
      </w:pPr>
    </w:p>
    <w:p w14:paraId="72F03DDA" w14:textId="77777777" w:rsidR="000D160E" w:rsidRDefault="000D160E" w:rsidP="006F1380">
      <w:pPr>
        <w:spacing w:after="0" w:line="240" w:lineRule="auto"/>
        <w:ind w:right="-874"/>
        <w:rPr>
          <w:rFonts w:ascii="Times New Roman" w:hAnsi="Times New Roman"/>
          <w:b/>
          <w:sz w:val="24"/>
          <w:szCs w:val="24"/>
        </w:rPr>
      </w:pPr>
    </w:p>
    <w:p w14:paraId="0581C4F7" w14:textId="77777777" w:rsidR="009E6E00" w:rsidRPr="00E11E24" w:rsidRDefault="009E6E00" w:rsidP="009E6E00">
      <w:pPr>
        <w:pStyle w:val="Sarakstarindkopa"/>
        <w:numPr>
          <w:ilvl w:val="0"/>
          <w:numId w:val="1"/>
        </w:numPr>
        <w:spacing w:after="0" w:line="240" w:lineRule="auto"/>
        <w:ind w:right="-874"/>
        <w:rPr>
          <w:rFonts w:ascii="Times New Roman" w:eastAsia="Times New Roman" w:hAnsi="Times New Roman"/>
          <w:i/>
          <w:sz w:val="24"/>
          <w:szCs w:val="24"/>
          <w:lang w:eastAsia="lv-LV"/>
        </w:rPr>
      </w:pPr>
      <w:r>
        <w:rPr>
          <w:rFonts w:ascii="Times New Roman" w:eastAsia="Times New Roman" w:hAnsi="Times New Roman"/>
          <w:i/>
          <w:sz w:val="24"/>
          <w:szCs w:val="24"/>
          <w:lang w:eastAsia="lv-LV"/>
        </w:rPr>
        <w:t>T</w:t>
      </w:r>
      <w:r w:rsidRPr="00E11E24">
        <w:rPr>
          <w:rFonts w:ascii="Times New Roman" w:eastAsia="Times New Roman" w:hAnsi="Times New Roman"/>
          <w:i/>
          <w:sz w:val="24"/>
          <w:szCs w:val="24"/>
          <w:lang w:eastAsia="lv-LV"/>
        </w:rPr>
        <w:t>ehniskais piedāvājums:</w:t>
      </w:r>
    </w:p>
    <w:p w14:paraId="5E6DF971" w14:textId="77777777" w:rsidR="009E6E00" w:rsidRPr="0062772B" w:rsidRDefault="009E6E00" w:rsidP="009E6E00">
      <w:pPr>
        <w:spacing w:after="0" w:line="240" w:lineRule="auto"/>
        <w:ind w:right="-874"/>
        <w:rPr>
          <w:rFonts w:ascii="Times New Roman" w:eastAsia="Times New Roman" w:hAnsi="Times New Roman"/>
          <w:sz w:val="24"/>
          <w:szCs w:val="24"/>
          <w:lang w:eastAsia="lv-LV"/>
        </w:rPr>
      </w:pPr>
    </w:p>
    <w:p w14:paraId="3C07495B" w14:textId="77777777" w:rsidR="009E6E00" w:rsidRDefault="009E6E00" w:rsidP="009E6E00">
      <w:pPr>
        <w:spacing w:after="0" w:line="240" w:lineRule="auto"/>
        <w:ind w:right="-874"/>
        <w:jc w:val="both"/>
        <w:rPr>
          <w:rFonts w:ascii="Times New Roman" w:eastAsia="Times New Roman" w:hAnsi="Times New Roman"/>
          <w:sz w:val="24"/>
          <w:szCs w:val="24"/>
          <w:lang w:eastAsia="lv-LV"/>
        </w:rPr>
      </w:pPr>
    </w:p>
    <w:p w14:paraId="311FE7C8" w14:textId="77777777" w:rsidR="002F335B" w:rsidRDefault="002F335B" w:rsidP="009E6E00">
      <w:pPr>
        <w:jc w:val="both"/>
        <w:rPr>
          <w:rFonts w:ascii="Times New Roman" w:hAnsi="Times New Roman"/>
          <w:b/>
          <w:sz w:val="24"/>
          <w:szCs w:val="24"/>
        </w:rPr>
      </w:pPr>
      <w:r w:rsidRPr="00E5210E">
        <w:rPr>
          <w:rFonts w:ascii="Times New Roman" w:hAnsi="Times New Roman"/>
          <w:b/>
          <w:sz w:val="24"/>
          <w:szCs w:val="24"/>
        </w:rPr>
        <w:t>Mikro–rentgenfluorescences spektrometrs (µXRF)</w:t>
      </w:r>
    </w:p>
    <w:p w14:paraId="5966C229" w14:textId="300BA033" w:rsidR="009E6E00" w:rsidRDefault="007F0877" w:rsidP="009E6E00">
      <w:pPr>
        <w:jc w:val="both"/>
        <w:rPr>
          <w:rFonts w:ascii="Times New Roman" w:hAnsi="Times New Roman"/>
          <w:i/>
          <w:sz w:val="24"/>
          <w:szCs w:val="24"/>
        </w:rPr>
      </w:pPr>
      <w:r>
        <w:rPr>
          <w:rFonts w:ascii="Times New Roman" w:hAnsi="Times New Roman"/>
          <w:b/>
          <w:sz w:val="24"/>
          <w:szCs w:val="24"/>
        </w:rPr>
        <w:t>A</w:t>
      </w:r>
      <w:r w:rsidR="009E6E00" w:rsidRPr="00D31535">
        <w:rPr>
          <w:rFonts w:ascii="Times New Roman" w:hAnsi="Times New Roman"/>
          <w:b/>
          <w:sz w:val="24"/>
          <w:szCs w:val="24"/>
        </w:rPr>
        <w:t>praksts:</w:t>
      </w:r>
      <w:r w:rsidR="009E6E00" w:rsidRPr="00D31535">
        <w:rPr>
          <w:rFonts w:ascii="Times New Roman" w:hAnsi="Times New Roman"/>
          <w:sz w:val="24"/>
          <w:szCs w:val="24"/>
        </w:rPr>
        <w:t xml:space="preserve"> </w:t>
      </w:r>
      <w:r w:rsidR="009E6E00" w:rsidRPr="00E11E24">
        <w:rPr>
          <w:rFonts w:ascii="Times New Roman" w:hAnsi="Times New Roman"/>
          <w:i/>
          <w:sz w:val="24"/>
          <w:szCs w:val="24"/>
        </w:rPr>
        <w:t xml:space="preserve">Pretendents apraksta atbilstību Tehniskās specifikācijas </w:t>
      </w:r>
      <w:r>
        <w:rPr>
          <w:rFonts w:ascii="Times New Roman" w:hAnsi="Times New Roman"/>
          <w:i/>
          <w:sz w:val="24"/>
          <w:szCs w:val="24"/>
        </w:rPr>
        <w:t>prasībām</w:t>
      </w:r>
      <w:r w:rsidR="009E6E00" w:rsidRPr="00E11E24">
        <w:rPr>
          <w:rFonts w:ascii="Times New Roman" w:hAnsi="Times New Roman"/>
          <w:i/>
          <w:sz w:val="24"/>
          <w:szCs w:val="24"/>
        </w:rPr>
        <w:t>.</w:t>
      </w:r>
    </w:p>
    <w:p w14:paraId="5633803A" w14:textId="77777777" w:rsidR="009E6E00" w:rsidRDefault="009E6E00" w:rsidP="009E6E00">
      <w:pPr>
        <w:jc w:val="both"/>
        <w:rPr>
          <w:rFonts w:ascii="Times New Roman" w:hAnsi="Times New Roman"/>
          <w:sz w:val="24"/>
          <w:szCs w:val="24"/>
        </w:rPr>
      </w:pPr>
      <w:r w:rsidRPr="0007626F">
        <w:rPr>
          <w:rFonts w:ascii="Times New Roman" w:hAnsi="Times New Roman"/>
          <w:b/>
          <w:sz w:val="24"/>
          <w:szCs w:val="24"/>
        </w:rPr>
        <w:t>Piedāvātais garantijas termiņš:</w:t>
      </w:r>
      <w:r w:rsidRPr="0007626F">
        <w:rPr>
          <w:rFonts w:ascii="Times New Roman" w:hAnsi="Times New Roman"/>
          <w:sz w:val="24"/>
          <w:szCs w:val="24"/>
        </w:rPr>
        <w:t xml:space="preserve"> _____ mēneši</w:t>
      </w:r>
    </w:p>
    <w:p w14:paraId="10CB090A" w14:textId="77777777" w:rsidR="009E6E00" w:rsidRPr="0020159E" w:rsidRDefault="009E6E00" w:rsidP="009E6E00">
      <w:pPr>
        <w:rPr>
          <w:rFonts w:ascii="Times New Roman" w:hAnsi="Times New Roman"/>
          <w:sz w:val="24"/>
          <w:szCs w:val="24"/>
        </w:rPr>
      </w:pPr>
      <w:r w:rsidRPr="0020159E">
        <w:rPr>
          <w:rFonts w:ascii="Times New Roman" w:hAnsi="Times New Roman"/>
          <w:b/>
          <w:sz w:val="24"/>
          <w:szCs w:val="24"/>
        </w:rPr>
        <w:t>Piegādes termiņš:</w:t>
      </w:r>
      <w:r>
        <w:rPr>
          <w:rFonts w:ascii="Times New Roman" w:hAnsi="Times New Roman"/>
          <w:sz w:val="24"/>
          <w:szCs w:val="24"/>
        </w:rPr>
        <w:t>________</w:t>
      </w:r>
    </w:p>
    <w:tbl>
      <w:tblPr>
        <w:tblStyle w:val="Reatabula"/>
        <w:tblW w:w="9747" w:type="dxa"/>
        <w:tblLayout w:type="fixed"/>
        <w:tblLook w:val="04A0" w:firstRow="1" w:lastRow="0" w:firstColumn="1" w:lastColumn="0" w:noHBand="0" w:noVBand="1"/>
      </w:tblPr>
      <w:tblGrid>
        <w:gridCol w:w="911"/>
        <w:gridCol w:w="2174"/>
        <w:gridCol w:w="5528"/>
        <w:gridCol w:w="1134"/>
      </w:tblGrid>
      <w:tr w:rsidR="009E6E00" w:rsidRPr="00D31535" w14:paraId="53EE1671" w14:textId="77777777" w:rsidTr="00F64F5C">
        <w:tc>
          <w:tcPr>
            <w:tcW w:w="911" w:type="dxa"/>
          </w:tcPr>
          <w:p w14:paraId="5826818C" w14:textId="77777777" w:rsidR="009E6E00" w:rsidRDefault="009E6E00" w:rsidP="00F64F5C">
            <w:pPr>
              <w:rPr>
                <w:rFonts w:ascii="Times New Roman" w:hAnsi="Times New Roman"/>
                <w:b/>
                <w:sz w:val="24"/>
                <w:szCs w:val="24"/>
              </w:rPr>
            </w:pPr>
            <w:r w:rsidRPr="00D31535">
              <w:rPr>
                <w:rFonts w:ascii="Times New Roman" w:hAnsi="Times New Roman"/>
                <w:b/>
                <w:sz w:val="24"/>
                <w:szCs w:val="24"/>
              </w:rPr>
              <w:t>Nr.</w:t>
            </w:r>
          </w:p>
          <w:p w14:paraId="5844CB8C" w14:textId="77777777" w:rsidR="009E6E00" w:rsidRPr="00D31535" w:rsidRDefault="009E6E00" w:rsidP="00F64F5C">
            <w:pPr>
              <w:rPr>
                <w:rFonts w:ascii="Times New Roman" w:hAnsi="Times New Roman"/>
                <w:b/>
                <w:sz w:val="24"/>
                <w:szCs w:val="24"/>
              </w:rPr>
            </w:pPr>
            <w:r w:rsidRPr="00D31535">
              <w:rPr>
                <w:rFonts w:ascii="Times New Roman" w:hAnsi="Times New Roman"/>
                <w:b/>
                <w:sz w:val="24"/>
                <w:szCs w:val="24"/>
              </w:rPr>
              <w:t>p.k.</w:t>
            </w:r>
          </w:p>
        </w:tc>
        <w:tc>
          <w:tcPr>
            <w:tcW w:w="2174" w:type="dxa"/>
          </w:tcPr>
          <w:p w14:paraId="6241A514" w14:textId="77777777" w:rsidR="009E6E00" w:rsidRDefault="009E6E00" w:rsidP="00F64F5C">
            <w:pPr>
              <w:rPr>
                <w:rFonts w:ascii="Times New Roman" w:hAnsi="Times New Roman"/>
                <w:b/>
                <w:sz w:val="24"/>
                <w:szCs w:val="24"/>
              </w:rPr>
            </w:pPr>
            <w:r w:rsidRPr="00D31535">
              <w:rPr>
                <w:rFonts w:ascii="Times New Roman" w:hAnsi="Times New Roman"/>
                <w:b/>
                <w:sz w:val="24"/>
                <w:szCs w:val="24"/>
              </w:rPr>
              <w:t>Iepirkuma priekšmets, izmēri</w:t>
            </w:r>
          </w:p>
          <w:p w14:paraId="0B66EDB3" w14:textId="77777777" w:rsidR="009E6E00" w:rsidRPr="004B7A98" w:rsidRDefault="009E6E00" w:rsidP="00F64F5C">
            <w:pPr>
              <w:rPr>
                <w:rFonts w:ascii="Times New Roman" w:hAnsi="Times New Roman"/>
                <w:i/>
                <w:sz w:val="24"/>
                <w:szCs w:val="24"/>
              </w:rPr>
            </w:pPr>
            <w:r w:rsidRPr="004B7A98">
              <w:rPr>
                <w:rFonts w:ascii="Times New Roman" w:hAnsi="Times New Roman"/>
                <w:i/>
                <w:sz w:val="24"/>
                <w:szCs w:val="24"/>
              </w:rPr>
              <w:t>(Pretendents norāda piedāvātos izmērus)</w:t>
            </w:r>
          </w:p>
        </w:tc>
        <w:tc>
          <w:tcPr>
            <w:tcW w:w="5528" w:type="dxa"/>
          </w:tcPr>
          <w:p w14:paraId="06B9A20E" w14:textId="77777777" w:rsidR="009E6E00" w:rsidRPr="00D31535" w:rsidRDefault="009E6E00" w:rsidP="00F64F5C">
            <w:pPr>
              <w:rPr>
                <w:rFonts w:ascii="Times New Roman" w:hAnsi="Times New Roman"/>
                <w:b/>
                <w:sz w:val="24"/>
                <w:szCs w:val="24"/>
              </w:rPr>
            </w:pPr>
            <w:r w:rsidRPr="00D31535">
              <w:rPr>
                <w:rFonts w:ascii="Times New Roman" w:hAnsi="Times New Roman"/>
                <w:b/>
                <w:sz w:val="24"/>
                <w:szCs w:val="24"/>
              </w:rPr>
              <w:t xml:space="preserve">Speciālo prasību apraksts </w:t>
            </w:r>
            <w:r w:rsidRPr="00C52D89">
              <w:rPr>
                <w:rFonts w:ascii="Times New Roman" w:hAnsi="Times New Roman"/>
                <w:sz w:val="24"/>
                <w:szCs w:val="24"/>
              </w:rPr>
              <w:t>(</w:t>
            </w:r>
            <w:r w:rsidRPr="00C52D89">
              <w:rPr>
                <w:rFonts w:ascii="Times New Roman" w:hAnsi="Times New Roman"/>
                <w:i/>
                <w:sz w:val="24"/>
                <w:szCs w:val="24"/>
              </w:rPr>
              <w:t xml:space="preserve">pretendents apraksta atbilstību Tehniskās specifikācijas </w:t>
            </w:r>
            <w:r>
              <w:rPr>
                <w:rFonts w:ascii="Times New Roman" w:hAnsi="Times New Roman"/>
                <w:i/>
                <w:sz w:val="24"/>
                <w:szCs w:val="24"/>
              </w:rPr>
              <w:t xml:space="preserve">speciālo prasību </w:t>
            </w:r>
            <w:r w:rsidRPr="00C52D89">
              <w:rPr>
                <w:rFonts w:ascii="Times New Roman" w:hAnsi="Times New Roman"/>
                <w:i/>
                <w:sz w:val="24"/>
                <w:szCs w:val="24"/>
              </w:rPr>
              <w:t>aprakstam</w:t>
            </w:r>
            <w:r w:rsidRPr="00C52D89">
              <w:rPr>
                <w:rFonts w:ascii="Times New Roman" w:hAnsi="Times New Roman"/>
                <w:sz w:val="24"/>
                <w:szCs w:val="24"/>
              </w:rPr>
              <w:t>)</w:t>
            </w:r>
          </w:p>
        </w:tc>
        <w:tc>
          <w:tcPr>
            <w:tcW w:w="1134" w:type="dxa"/>
          </w:tcPr>
          <w:p w14:paraId="1A8AA524" w14:textId="77777777" w:rsidR="009E6E00" w:rsidRPr="00D31535" w:rsidRDefault="009E6E00" w:rsidP="00F64F5C">
            <w:pPr>
              <w:rPr>
                <w:rFonts w:ascii="Times New Roman" w:hAnsi="Times New Roman"/>
                <w:b/>
                <w:sz w:val="24"/>
                <w:szCs w:val="24"/>
              </w:rPr>
            </w:pPr>
            <w:r w:rsidRPr="00D31535">
              <w:rPr>
                <w:rFonts w:ascii="Times New Roman" w:hAnsi="Times New Roman"/>
                <w:b/>
                <w:sz w:val="24"/>
                <w:szCs w:val="24"/>
              </w:rPr>
              <w:t>Skaits</w:t>
            </w:r>
          </w:p>
        </w:tc>
      </w:tr>
      <w:tr w:rsidR="009E6E00" w:rsidRPr="00D31535" w14:paraId="7F415322" w14:textId="77777777" w:rsidTr="007F0877">
        <w:trPr>
          <w:trHeight w:val="678"/>
        </w:trPr>
        <w:tc>
          <w:tcPr>
            <w:tcW w:w="911" w:type="dxa"/>
          </w:tcPr>
          <w:p w14:paraId="6FDFC803" w14:textId="77777777" w:rsidR="009E6E00" w:rsidRPr="00D31535" w:rsidRDefault="009E6E00" w:rsidP="00F64F5C">
            <w:pPr>
              <w:rPr>
                <w:rFonts w:ascii="Times New Roman" w:hAnsi="Times New Roman"/>
                <w:sz w:val="24"/>
                <w:szCs w:val="24"/>
              </w:rPr>
            </w:pPr>
            <w:r w:rsidRPr="00D31535">
              <w:rPr>
                <w:rFonts w:ascii="Times New Roman" w:hAnsi="Times New Roman"/>
                <w:sz w:val="24"/>
                <w:szCs w:val="24"/>
              </w:rPr>
              <w:t>1.</w:t>
            </w:r>
          </w:p>
        </w:tc>
        <w:tc>
          <w:tcPr>
            <w:tcW w:w="2174" w:type="dxa"/>
          </w:tcPr>
          <w:p w14:paraId="7709088F" w14:textId="77777777" w:rsidR="009E6E00" w:rsidRPr="00D31535" w:rsidRDefault="009E6E00" w:rsidP="007F0877">
            <w:pPr>
              <w:jc w:val="center"/>
              <w:rPr>
                <w:rFonts w:ascii="Times New Roman" w:hAnsi="Times New Roman"/>
                <w:sz w:val="24"/>
                <w:szCs w:val="24"/>
              </w:rPr>
            </w:pPr>
          </w:p>
        </w:tc>
        <w:tc>
          <w:tcPr>
            <w:tcW w:w="5528" w:type="dxa"/>
          </w:tcPr>
          <w:p w14:paraId="309A3E53" w14:textId="77777777" w:rsidR="009E6E00" w:rsidRPr="00D31535" w:rsidRDefault="009E6E00" w:rsidP="00F64F5C">
            <w:pPr>
              <w:rPr>
                <w:rFonts w:ascii="Times New Roman" w:hAnsi="Times New Roman"/>
                <w:sz w:val="24"/>
                <w:szCs w:val="24"/>
              </w:rPr>
            </w:pPr>
          </w:p>
        </w:tc>
        <w:tc>
          <w:tcPr>
            <w:tcW w:w="1134" w:type="dxa"/>
          </w:tcPr>
          <w:p w14:paraId="2855D10B" w14:textId="77777777" w:rsidR="009E6E00" w:rsidRPr="00D31535" w:rsidRDefault="009E6E00" w:rsidP="00F64F5C">
            <w:pPr>
              <w:rPr>
                <w:rFonts w:ascii="Times New Roman" w:hAnsi="Times New Roman"/>
                <w:sz w:val="24"/>
                <w:szCs w:val="24"/>
              </w:rPr>
            </w:pPr>
          </w:p>
        </w:tc>
      </w:tr>
    </w:tbl>
    <w:p w14:paraId="5487D647" w14:textId="77777777" w:rsidR="009E6E00" w:rsidRPr="0062772B" w:rsidRDefault="009E6E00" w:rsidP="009E6E00">
      <w:pPr>
        <w:spacing w:after="0" w:line="240" w:lineRule="auto"/>
        <w:ind w:right="-874"/>
        <w:rPr>
          <w:rFonts w:ascii="Times New Roman" w:eastAsia="Times New Roman" w:hAnsi="Times New Roman"/>
          <w:sz w:val="24"/>
          <w:szCs w:val="24"/>
          <w:lang w:eastAsia="lv-LV"/>
        </w:rPr>
      </w:pPr>
      <w:r w:rsidRPr="0062772B">
        <w:rPr>
          <w:rFonts w:ascii="Times New Roman" w:eastAsia="Times New Roman" w:hAnsi="Times New Roman"/>
          <w:sz w:val="24"/>
          <w:szCs w:val="24"/>
          <w:lang w:eastAsia="lv-LV"/>
        </w:rPr>
        <w:t>Pretendents (paraksta pretendenta vadītājs vai pilnvarota persona):</w:t>
      </w:r>
    </w:p>
    <w:p w14:paraId="222B665D" w14:textId="77777777" w:rsidR="00562B57" w:rsidRPr="0062772B" w:rsidRDefault="00562B57" w:rsidP="009E6E00">
      <w:pPr>
        <w:spacing w:after="0" w:line="240" w:lineRule="auto"/>
        <w:jc w:val="both"/>
        <w:rPr>
          <w:rFonts w:ascii="Times New Roman" w:eastAsia="Times New Roman" w:hAnsi="Times New Roman"/>
          <w:sz w:val="24"/>
          <w:szCs w:val="24"/>
          <w:lang w:eastAsia="lv-LV"/>
        </w:rPr>
      </w:pPr>
      <w:bookmarkStart w:id="0" w:name="_GoBack"/>
      <w:bookmarkEnd w:id="0"/>
    </w:p>
    <w:p w14:paraId="4433613E" w14:textId="77777777" w:rsidR="009E6E00" w:rsidRPr="0062772B" w:rsidRDefault="009E6E00" w:rsidP="009E6E00">
      <w:pPr>
        <w:spacing w:after="0" w:line="240" w:lineRule="auto"/>
        <w:jc w:val="both"/>
        <w:rPr>
          <w:rFonts w:ascii="Times New Roman" w:eastAsia="Times New Roman" w:hAnsi="Times New Roman"/>
          <w:sz w:val="24"/>
          <w:szCs w:val="24"/>
          <w:lang w:eastAsia="lv-LV"/>
        </w:rPr>
      </w:pPr>
      <w:r w:rsidRPr="0062772B">
        <w:rPr>
          <w:rFonts w:ascii="Times New Roman" w:eastAsia="Times New Roman" w:hAnsi="Times New Roman"/>
          <w:sz w:val="24"/>
          <w:szCs w:val="24"/>
          <w:lang w:eastAsia="lv-LV"/>
        </w:rPr>
        <w:t>________________</w:t>
      </w:r>
      <w:r w:rsidRPr="0062772B">
        <w:rPr>
          <w:rFonts w:ascii="Times New Roman" w:eastAsia="Times New Roman" w:hAnsi="Times New Roman"/>
          <w:sz w:val="24"/>
          <w:szCs w:val="24"/>
          <w:lang w:eastAsia="lv-LV"/>
        </w:rPr>
        <w:tab/>
      </w:r>
      <w:r w:rsidRPr="0062772B">
        <w:rPr>
          <w:rFonts w:ascii="Times New Roman" w:eastAsia="Times New Roman" w:hAnsi="Times New Roman"/>
          <w:sz w:val="24"/>
          <w:szCs w:val="24"/>
          <w:lang w:eastAsia="lv-LV"/>
        </w:rPr>
        <w:tab/>
        <w:t>________________</w:t>
      </w:r>
      <w:r w:rsidRPr="0062772B">
        <w:rPr>
          <w:rFonts w:ascii="Times New Roman" w:eastAsia="Times New Roman" w:hAnsi="Times New Roman"/>
          <w:sz w:val="24"/>
          <w:szCs w:val="24"/>
          <w:lang w:eastAsia="lv-LV"/>
        </w:rPr>
        <w:tab/>
      </w:r>
      <w:r w:rsidRPr="0062772B">
        <w:rPr>
          <w:rFonts w:ascii="Times New Roman" w:eastAsia="Times New Roman" w:hAnsi="Times New Roman"/>
          <w:sz w:val="24"/>
          <w:szCs w:val="24"/>
          <w:lang w:eastAsia="lv-LV"/>
        </w:rPr>
        <w:tab/>
        <w:t>_________________</w:t>
      </w:r>
    </w:p>
    <w:p w14:paraId="022668DC" w14:textId="77777777" w:rsidR="001178BC" w:rsidRDefault="009E6E00" w:rsidP="00D852D4">
      <w:pPr>
        <w:spacing w:after="0" w:line="240" w:lineRule="auto"/>
      </w:pPr>
      <w:r w:rsidRPr="0062772B">
        <w:rPr>
          <w:rFonts w:ascii="Times New Roman" w:eastAsia="Times New Roman" w:hAnsi="Times New Roman"/>
          <w:sz w:val="24"/>
          <w:szCs w:val="24"/>
          <w:vertAlign w:val="superscript"/>
          <w:lang w:eastAsia="lv-LV"/>
        </w:rPr>
        <w:t>Paraksts</w:t>
      </w:r>
      <w:r w:rsidRPr="0062772B">
        <w:rPr>
          <w:rFonts w:ascii="Times New Roman" w:eastAsia="Times New Roman" w:hAnsi="Times New Roman"/>
          <w:sz w:val="24"/>
          <w:szCs w:val="24"/>
          <w:vertAlign w:val="superscript"/>
          <w:lang w:eastAsia="lv-LV"/>
        </w:rPr>
        <w:tab/>
      </w:r>
      <w:r w:rsidRPr="0062772B">
        <w:rPr>
          <w:rFonts w:ascii="Times New Roman" w:eastAsia="Times New Roman" w:hAnsi="Times New Roman"/>
          <w:sz w:val="24"/>
          <w:szCs w:val="24"/>
          <w:vertAlign w:val="superscript"/>
          <w:lang w:eastAsia="lv-LV"/>
        </w:rPr>
        <w:tab/>
      </w:r>
      <w:r w:rsidRPr="0062772B">
        <w:rPr>
          <w:rFonts w:ascii="Times New Roman" w:eastAsia="Times New Roman" w:hAnsi="Times New Roman"/>
          <w:sz w:val="24"/>
          <w:szCs w:val="24"/>
          <w:vertAlign w:val="superscript"/>
          <w:lang w:eastAsia="lv-LV"/>
        </w:rPr>
        <w:tab/>
      </w:r>
      <w:r w:rsidRPr="0062772B">
        <w:rPr>
          <w:rFonts w:ascii="Times New Roman" w:eastAsia="Times New Roman" w:hAnsi="Times New Roman"/>
          <w:sz w:val="24"/>
          <w:szCs w:val="24"/>
          <w:vertAlign w:val="superscript"/>
          <w:lang w:eastAsia="lv-LV"/>
        </w:rPr>
        <w:tab/>
        <w:t>Vārds, uzvārds</w:t>
      </w:r>
      <w:r w:rsidRPr="0062772B">
        <w:rPr>
          <w:rFonts w:ascii="Times New Roman" w:eastAsia="Times New Roman" w:hAnsi="Times New Roman"/>
          <w:sz w:val="24"/>
          <w:szCs w:val="24"/>
          <w:vertAlign w:val="superscript"/>
          <w:lang w:eastAsia="lv-LV"/>
        </w:rPr>
        <w:tab/>
      </w:r>
      <w:r w:rsidRPr="0062772B">
        <w:rPr>
          <w:rFonts w:ascii="Times New Roman" w:eastAsia="Times New Roman" w:hAnsi="Times New Roman"/>
          <w:sz w:val="24"/>
          <w:szCs w:val="24"/>
          <w:vertAlign w:val="superscript"/>
          <w:lang w:eastAsia="lv-LV"/>
        </w:rPr>
        <w:tab/>
      </w:r>
      <w:r w:rsidRPr="0062772B">
        <w:rPr>
          <w:rFonts w:ascii="Times New Roman" w:eastAsia="Times New Roman" w:hAnsi="Times New Roman"/>
          <w:sz w:val="24"/>
          <w:szCs w:val="24"/>
          <w:vertAlign w:val="superscript"/>
          <w:lang w:eastAsia="lv-LV"/>
        </w:rPr>
        <w:tab/>
        <w:t>Amats</w:t>
      </w:r>
    </w:p>
    <w:sectPr w:rsidR="001178BC" w:rsidSect="00562B57">
      <w:footerReference w:type="default" r:id="rId8"/>
      <w:pgSz w:w="11906" w:h="16838"/>
      <w:pgMar w:top="567" w:right="1800" w:bottom="1276" w:left="1800"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E8E2E" w14:textId="77777777" w:rsidR="00D87BEE" w:rsidRDefault="00D87BEE" w:rsidP="000A4FCD">
      <w:pPr>
        <w:spacing w:after="0" w:line="240" w:lineRule="auto"/>
      </w:pPr>
      <w:r>
        <w:separator/>
      </w:r>
    </w:p>
  </w:endnote>
  <w:endnote w:type="continuationSeparator" w:id="0">
    <w:p w14:paraId="1F521EA2" w14:textId="77777777" w:rsidR="00D87BEE" w:rsidRDefault="00D87BEE" w:rsidP="000A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Grande CE">
    <w:charset w:val="58"/>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838051"/>
      <w:docPartObj>
        <w:docPartGallery w:val="Page Numbers (Bottom of Page)"/>
        <w:docPartUnique/>
      </w:docPartObj>
    </w:sdtPr>
    <w:sdtEndPr/>
    <w:sdtContent>
      <w:p w14:paraId="34F3CA2E" w14:textId="77777777" w:rsidR="000A4FCD" w:rsidRDefault="000A4FCD">
        <w:pPr>
          <w:pStyle w:val="Kjene"/>
          <w:jc w:val="center"/>
        </w:pPr>
        <w:r>
          <w:fldChar w:fldCharType="begin"/>
        </w:r>
        <w:r>
          <w:instrText>PAGE   \* MERGEFORMAT</w:instrText>
        </w:r>
        <w:r>
          <w:fldChar w:fldCharType="separate"/>
        </w:r>
        <w:r w:rsidR="004549A9">
          <w:rPr>
            <w:noProof/>
          </w:rPr>
          <w:t>1</w:t>
        </w:r>
        <w:r>
          <w:fldChar w:fldCharType="end"/>
        </w:r>
      </w:p>
    </w:sdtContent>
  </w:sdt>
  <w:p w14:paraId="07A01637" w14:textId="77777777" w:rsidR="000A4FCD" w:rsidRDefault="000A4FC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77F4C" w14:textId="77777777" w:rsidR="00D87BEE" w:rsidRDefault="00D87BEE" w:rsidP="000A4FCD">
      <w:pPr>
        <w:spacing w:after="0" w:line="240" w:lineRule="auto"/>
      </w:pPr>
      <w:r>
        <w:separator/>
      </w:r>
    </w:p>
  </w:footnote>
  <w:footnote w:type="continuationSeparator" w:id="0">
    <w:p w14:paraId="2458DDEF" w14:textId="77777777" w:rsidR="00D87BEE" w:rsidRDefault="00D87BEE" w:rsidP="000A4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D103C"/>
    <w:multiLevelType w:val="hybridMultilevel"/>
    <w:tmpl w:val="8EFE3890"/>
    <w:lvl w:ilvl="0" w:tplc="00F8951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00"/>
    <w:rsid w:val="000A4FCD"/>
    <w:rsid w:val="000D160E"/>
    <w:rsid w:val="001178BC"/>
    <w:rsid w:val="00163DF5"/>
    <w:rsid w:val="00210E85"/>
    <w:rsid w:val="00217F71"/>
    <w:rsid w:val="00225DA9"/>
    <w:rsid w:val="00293F80"/>
    <w:rsid w:val="002F335B"/>
    <w:rsid w:val="003461C5"/>
    <w:rsid w:val="003A615D"/>
    <w:rsid w:val="00430478"/>
    <w:rsid w:val="004549A9"/>
    <w:rsid w:val="004854F1"/>
    <w:rsid w:val="0054034E"/>
    <w:rsid w:val="00562B57"/>
    <w:rsid w:val="006031D1"/>
    <w:rsid w:val="00644060"/>
    <w:rsid w:val="006C47D2"/>
    <w:rsid w:val="006F1380"/>
    <w:rsid w:val="006F6643"/>
    <w:rsid w:val="0071449D"/>
    <w:rsid w:val="007F0877"/>
    <w:rsid w:val="008A6A7D"/>
    <w:rsid w:val="00961303"/>
    <w:rsid w:val="00967AA9"/>
    <w:rsid w:val="009728A0"/>
    <w:rsid w:val="009E6E00"/>
    <w:rsid w:val="00A864C9"/>
    <w:rsid w:val="00B91A23"/>
    <w:rsid w:val="00BA2710"/>
    <w:rsid w:val="00C44FD5"/>
    <w:rsid w:val="00CB4D12"/>
    <w:rsid w:val="00CB6BF1"/>
    <w:rsid w:val="00CC310B"/>
    <w:rsid w:val="00CE07E8"/>
    <w:rsid w:val="00D852D4"/>
    <w:rsid w:val="00D87BEE"/>
    <w:rsid w:val="00DA611E"/>
    <w:rsid w:val="00DF242A"/>
    <w:rsid w:val="00E13EAE"/>
    <w:rsid w:val="00E91921"/>
    <w:rsid w:val="00F64F5C"/>
    <w:rsid w:val="00FA678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9383E4"/>
  <w15:docId w15:val="{C402B054-32FE-46BC-8ED4-BD94AE2B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E6E0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E6E00"/>
    <w:pPr>
      <w:ind w:left="720"/>
      <w:contextualSpacing/>
    </w:pPr>
  </w:style>
  <w:style w:type="table" w:styleId="Reatabula">
    <w:name w:val="Table Grid"/>
    <w:basedOn w:val="Parastatabula"/>
    <w:uiPriority w:val="59"/>
    <w:rsid w:val="009E6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A4F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A4FCD"/>
    <w:rPr>
      <w:rFonts w:ascii="Calibri" w:eastAsia="Calibri" w:hAnsi="Calibri" w:cs="Times New Roman"/>
    </w:rPr>
  </w:style>
  <w:style w:type="paragraph" w:styleId="Kjene">
    <w:name w:val="footer"/>
    <w:basedOn w:val="Parasts"/>
    <w:link w:val="KjeneRakstz"/>
    <w:uiPriority w:val="99"/>
    <w:unhideWhenUsed/>
    <w:rsid w:val="000A4F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A4FCD"/>
    <w:rPr>
      <w:rFonts w:ascii="Calibri" w:eastAsia="Calibri" w:hAnsi="Calibri" w:cs="Times New Roman"/>
    </w:rPr>
  </w:style>
  <w:style w:type="character" w:styleId="Komentraatsauce">
    <w:name w:val="annotation reference"/>
    <w:basedOn w:val="Noklusjumarindkopasfonts"/>
    <w:uiPriority w:val="99"/>
    <w:semiHidden/>
    <w:unhideWhenUsed/>
    <w:rsid w:val="00DF242A"/>
    <w:rPr>
      <w:sz w:val="18"/>
      <w:szCs w:val="18"/>
    </w:rPr>
  </w:style>
  <w:style w:type="paragraph" w:styleId="Komentrateksts">
    <w:name w:val="annotation text"/>
    <w:basedOn w:val="Parasts"/>
    <w:link w:val="KomentratekstsRakstz"/>
    <w:uiPriority w:val="99"/>
    <w:semiHidden/>
    <w:unhideWhenUsed/>
    <w:rsid w:val="00DF242A"/>
    <w:pPr>
      <w:spacing w:line="240" w:lineRule="auto"/>
    </w:pPr>
    <w:rPr>
      <w:sz w:val="24"/>
      <w:szCs w:val="24"/>
    </w:rPr>
  </w:style>
  <w:style w:type="character" w:customStyle="1" w:styleId="KomentratekstsRakstz">
    <w:name w:val="Komentāra teksts Rakstz."/>
    <w:basedOn w:val="Noklusjumarindkopasfonts"/>
    <w:link w:val="Komentrateksts"/>
    <w:uiPriority w:val="99"/>
    <w:semiHidden/>
    <w:rsid w:val="00DF242A"/>
    <w:rPr>
      <w:rFonts w:ascii="Calibri" w:eastAsia="Calibri" w:hAnsi="Calibri" w:cs="Times New Roman"/>
      <w:sz w:val="24"/>
      <w:szCs w:val="24"/>
    </w:rPr>
  </w:style>
  <w:style w:type="paragraph" w:styleId="Komentratma">
    <w:name w:val="annotation subject"/>
    <w:basedOn w:val="Komentrateksts"/>
    <w:next w:val="Komentrateksts"/>
    <w:link w:val="KomentratmaRakstz"/>
    <w:uiPriority w:val="99"/>
    <w:semiHidden/>
    <w:unhideWhenUsed/>
    <w:rsid w:val="00DF242A"/>
    <w:rPr>
      <w:b/>
      <w:bCs/>
      <w:sz w:val="20"/>
      <w:szCs w:val="20"/>
    </w:rPr>
  </w:style>
  <w:style w:type="character" w:customStyle="1" w:styleId="KomentratmaRakstz">
    <w:name w:val="Komentāra tēma Rakstz."/>
    <w:basedOn w:val="KomentratekstsRakstz"/>
    <w:link w:val="Komentratma"/>
    <w:uiPriority w:val="99"/>
    <w:semiHidden/>
    <w:rsid w:val="00DF242A"/>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DF242A"/>
    <w:pPr>
      <w:spacing w:after="0" w:line="240" w:lineRule="auto"/>
    </w:pPr>
    <w:rPr>
      <w:rFonts w:ascii="Lucida Grande CE" w:hAnsi="Lucida Grande CE" w:cs="Lucida Grande CE"/>
      <w:sz w:val="18"/>
      <w:szCs w:val="18"/>
    </w:rPr>
  </w:style>
  <w:style w:type="character" w:customStyle="1" w:styleId="BalontekstsRakstz">
    <w:name w:val="Balonteksts Rakstz."/>
    <w:basedOn w:val="Noklusjumarindkopasfonts"/>
    <w:link w:val="Balonteksts"/>
    <w:uiPriority w:val="99"/>
    <w:semiHidden/>
    <w:rsid w:val="00DF242A"/>
    <w:rPr>
      <w:rFonts w:ascii="Lucida Grande CE" w:eastAsia="Calibri" w:hAnsi="Lucida Grande CE" w:cs="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CD52-296E-41EF-828B-F152EE73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1178</Words>
  <Characters>673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2014-04-11T12:59:00Z</cp:lastPrinted>
  <dcterms:created xsi:type="dcterms:W3CDTF">2017-07-06T09:00:00Z</dcterms:created>
  <dcterms:modified xsi:type="dcterms:W3CDTF">2017-07-06T09:01:00Z</dcterms:modified>
</cp:coreProperties>
</file>